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80D04" w14:textId="77777777" w:rsidR="0055302E" w:rsidRDefault="0045458E" w:rsidP="00D75801">
      <w:pPr>
        <w:jc w:val="both"/>
      </w:pPr>
      <w:r w:rsidRPr="0045458E">
        <w:t>Johannes Angermuller (2015): “Lire le '</w:t>
      </w:r>
      <w:proofErr w:type="spellStart"/>
      <w:r w:rsidRPr="0045458E">
        <w:t>déconstructivisme</w:t>
      </w:r>
      <w:proofErr w:type="spellEnd"/>
      <w:r w:rsidRPr="0045458E">
        <w:t xml:space="preserve"> derridien'. De la subjectivité dans le discours philosophique.” In: Dominique Maingueneau, Mathilde Valles</w:t>
      </w:r>
      <w:r>
        <w:t>pir (</w:t>
      </w:r>
      <w:proofErr w:type="spellStart"/>
      <w:r>
        <w:t>dir</w:t>
      </w:r>
      <w:proofErr w:type="spellEnd"/>
      <w:r>
        <w:t xml:space="preserve">.), </w:t>
      </w:r>
      <w:bookmarkStart w:id="0" w:name="_GoBack"/>
      <w:r w:rsidRPr="0045458E">
        <w:rPr>
          <w:i/>
        </w:rPr>
        <w:t>Lire Derrida?</w:t>
      </w:r>
      <w:bookmarkEnd w:id="0"/>
      <w:r w:rsidRPr="0045458E">
        <w:t xml:space="preserve"> Limoges: Lambert Lucas, pp. 93-101.</w:t>
      </w:r>
    </w:p>
    <w:p w14:paraId="1858107F" w14:textId="77777777" w:rsidR="0055302E" w:rsidRDefault="0055302E" w:rsidP="00D75801">
      <w:pPr>
        <w:jc w:val="both"/>
      </w:pPr>
    </w:p>
    <w:p w14:paraId="057D9AE7" w14:textId="77777777" w:rsidR="0055302E" w:rsidRDefault="0055302E" w:rsidP="00D75801">
      <w:pPr>
        <w:pStyle w:val="berschrift"/>
        <w:spacing w:before="0" w:after="0"/>
        <w:jc w:val="center"/>
        <w:rPr>
          <w:rFonts w:cs="Times New Roman"/>
          <w:b/>
          <w:sz w:val="24"/>
          <w:lang w:val="fr-FR"/>
        </w:rPr>
      </w:pPr>
    </w:p>
    <w:p w14:paraId="3EAC5454" w14:textId="77777777" w:rsidR="0055302E" w:rsidRDefault="0055302E" w:rsidP="00D75801">
      <w:pPr>
        <w:pStyle w:val="berschrift"/>
        <w:spacing w:before="0" w:after="0"/>
        <w:jc w:val="center"/>
        <w:rPr>
          <w:rFonts w:cs="Times New Roman"/>
          <w:b/>
          <w:sz w:val="24"/>
          <w:lang w:val="fr-FR"/>
        </w:rPr>
      </w:pPr>
      <w:r w:rsidRPr="005D3B0D">
        <w:rPr>
          <w:rFonts w:cs="Times New Roman"/>
          <w:b/>
          <w:sz w:val="24"/>
          <w:lang w:val="fr-FR"/>
        </w:rPr>
        <w:t>LIRE LE « D</w:t>
      </w:r>
      <w:r>
        <w:rPr>
          <w:rFonts w:cs="Times New Roman"/>
          <w:b/>
          <w:sz w:val="24"/>
          <w:lang w:val="fr-FR"/>
        </w:rPr>
        <w:t>Ė</w:t>
      </w:r>
      <w:r w:rsidRPr="005D3B0D">
        <w:rPr>
          <w:rFonts w:cs="Times New Roman"/>
          <w:b/>
          <w:sz w:val="24"/>
          <w:lang w:val="fr-FR"/>
        </w:rPr>
        <w:t>CONSTRUCTIVISME DERRIDIEN ».</w:t>
      </w:r>
    </w:p>
    <w:p w14:paraId="742BEE22" w14:textId="77777777" w:rsidR="0055302E" w:rsidRPr="005D3B0D" w:rsidRDefault="0055302E" w:rsidP="00D75801">
      <w:pPr>
        <w:pStyle w:val="berschrift"/>
        <w:spacing w:before="0" w:after="0"/>
        <w:jc w:val="center"/>
        <w:rPr>
          <w:rFonts w:cs="Times New Roman"/>
          <w:b/>
          <w:sz w:val="24"/>
          <w:lang w:val="fr-FR"/>
        </w:rPr>
      </w:pPr>
      <w:r w:rsidRPr="005D3B0D">
        <w:rPr>
          <w:rFonts w:cs="Times New Roman"/>
          <w:b/>
          <w:sz w:val="24"/>
          <w:lang w:val="fr-FR"/>
        </w:rPr>
        <w:t>DE LA SUBJECTIVIT</w:t>
      </w:r>
      <w:r>
        <w:rPr>
          <w:rFonts w:cs="Times New Roman"/>
          <w:b/>
          <w:sz w:val="24"/>
          <w:lang w:val="fr-FR"/>
        </w:rPr>
        <w:t>Ė</w:t>
      </w:r>
      <w:r w:rsidRPr="005D3B0D">
        <w:rPr>
          <w:rFonts w:cs="Times New Roman"/>
          <w:b/>
          <w:sz w:val="24"/>
          <w:lang w:val="fr-FR"/>
        </w:rPr>
        <w:t xml:space="preserve"> DANS LE DISCOURS PHILOSOPHIQUE</w:t>
      </w:r>
      <w:r>
        <w:rPr>
          <w:rFonts w:cs="Times New Roman"/>
          <w:b/>
          <w:sz w:val="24"/>
          <w:lang w:val="fr-FR"/>
        </w:rPr>
        <w:t>.</w:t>
      </w:r>
    </w:p>
    <w:p w14:paraId="545B8377" w14:textId="77777777" w:rsidR="0055302E" w:rsidRDefault="0055302E" w:rsidP="00D75801">
      <w:pPr>
        <w:jc w:val="center"/>
      </w:pPr>
    </w:p>
    <w:p w14:paraId="55CF4279" w14:textId="77777777" w:rsidR="0055302E" w:rsidRDefault="0055302E" w:rsidP="00D75801">
      <w:pPr>
        <w:jc w:val="center"/>
      </w:pPr>
      <w:r w:rsidRPr="006A376B">
        <w:t>Johannes ANGERMULLER</w:t>
      </w:r>
    </w:p>
    <w:p w14:paraId="0B35F86C" w14:textId="77777777" w:rsidR="0055302E" w:rsidRDefault="0055302E" w:rsidP="00D75801">
      <w:pPr>
        <w:jc w:val="center"/>
      </w:pPr>
      <w:r>
        <w:t>Université de Warwick (Royaume-Uni)</w:t>
      </w:r>
    </w:p>
    <w:p w14:paraId="30880042" w14:textId="77777777" w:rsidR="0055302E" w:rsidRDefault="0055302E" w:rsidP="00D75801">
      <w:pPr>
        <w:jc w:val="center"/>
      </w:pPr>
      <w:r>
        <w:t>EHESS (Paris)</w:t>
      </w:r>
    </w:p>
    <w:p w14:paraId="6C7EA037" w14:textId="77777777" w:rsidR="0055302E" w:rsidRPr="006A376B" w:rsidRDefault="0055302E" w:rsidP="00D75801"/>
    <w:p w14:paraId="50D55FAE" w14:textId="77777777" w:rsidR="0055302E" w:rsidRDefault="0055302E" w:rsidP="00D75801">
      <w:pPr>
        <w:jc w:val="both"/>
        <w:outlineLvl w:val="0"/>
      </w:pPr>
    </w:p>
    <w:p w14:paraId="24C4803D" w14:textId="77777777" w:rsidR="0055302E" w:rsidRPr="006A376B" w:rsidRDefault="0055302E" w:rsidP="00D75801">
      <w:pPr>
        <w:ind w:firstLine="709"/>
        <w:jc w:val="both"/>
        <w:outlineLvl w:val="0"/>
      </w:pPr>
      <w:r w:rsidRPr="006A376B">
        <w:t>La déconstruction est généralement considérée comme le projet philosophique de la première période de Derrida, à laquelle</w:t>
      </w:r>
      <w:r>
        <w:t xml:space="preserve"> se rattachent des publications comme</w:t>
      </w:r>
      <w:r w:rsidRPr="006A376B">
        <w:t xml:space="preserve"> </w:t>
      </w:r>
      <w:r w:rsidRPr="006A376B">
        <w:rPr>
          <w:i/>
        </w:rPr>
        <w:t xml:space="preserve">De la grammatologie </w:t>
      </w:r>
      <w:r w:rsidRPr="006A376B">
        <w:t xml:space="preserve">(1967), </w:t>
      </w:r>
      <w:r w:rsidRPr="006A376B">
        <w:rPr>
          <w:i/>
        </w:rPr>
        <w:t xml:space="preserve">La </w:t>
      </w:r>
      <w:r>
        <w:rPr>
          <w:i/>
        </w:rPr>
        <w:t>V</w:t>
      </w:r>
      <w:r w:rsidRPr="006A376B">
        <w:rPr>
          <w:i/>
        </w:rPr>
        <w:t xml:space="preserve">oix et le </w:t>
      </w:r>
      <w:r>
        <w:rPr>
          <w:i/>
        </w:rPr>
        <w:t>P</w:t>
      </w:r>
      <w:r w:rsidRPr="006A376B">
        <w:rPr>
          <w:i/>
        </w:rPr>
        <w:t xml:space="preserve">hénomène </w:t>
      </w:r>
      <w:r>
        <w:fldChar w:fldCharType="begin"/>
      </w:r>
      <w:r>
        <w:instrText xml:space="preserve"> ADDIN EN.CITE &lt;EndNote&gt;&lt;Cite ExcludeAuth="1"&gt;&lt;Author&gt;Derrida&lt;/Author&gt;&lt;Year&gt;1967&lt;/Year&gt;&lt;RecNum&gt;1180&lt;/RecNum&gt;&lt;DisplayText&gt;(1967c)&lt;/DisplayText&gt;&lt;record&gt;&lt;rec-number&gt;1180&lt;/rec-number&gt;&lt;foreign-keys&gt;&lt;key app="EN" db-id="xex2xftfwapr9fevte1xdv5nadff9da5rfvr" timestamp="0"&gt;1180&lt;/key&gt;&lt;key app="ENWeb" db-id="TQQOLwrtqggAACTbTtM"&gt;1080&lt;/key&gt;&lt;/foreign-keys&gt;&lt;ref-type name="Book"&gt;6&lt;/ref-type&gt;&lt;contributors&gt;&lt;authors&gt;&lt;author&gt;Jacques Derrida&lt;/author&gt;&lt;/authors&gt;&lt;/contributors&gt;&lt;titles&gt;&lt;title&gt;La voix et le phénomène&lt;/title&gt;&lt;alt-title&gt;VeP&lt;/alt-title&gt;&lt;short-title&gt;Voix [wie Anm. 31]&lt;/short-title&gt;&lt;/titles&gt;&lt;dates&gt;&lt;year&gt;1967&lt;/year&gt;&lt;/dates&gt;&lt;pub-location&gt;Paris&lt;/pub-location&gt;&lt;publisher&gt;Quadrige/PUF&lt;/publisher&gt;&lt;urls&gt;&lt;/urls&gt;&lt;custom1&gt;&lt;style face="italic" font="default" size="100%"&gt;Speech and Phenomena, and other essays on Husserl’s theory of signs&lt;/style&gt;&lt;style face="normal" font="default" size="100%"&gt;. Evanston: Northwestern University Press, 1973&lt;/style&gt;&lt;/custom1&gt;&lt;custom3&gt;&lt;style face="italic" font="default" size="100%"&gt;Die Stimme und das Phänomen. Ein Essay über das Problem des Zeichens in der Philosophie Husserls&lt;/style&gt;&lt;style face="normal" font="default" size="100%"&gt;. Frankfurt am Main: Suhrkamp, 2003&lt;/style&gt;&lt;/custom3&gt;&lt;/record&gt;&lt;/Cite&gt;&lt;/EndNote&gt;</w:instrText>
      </w:r>
      <w:r>
        <w:fldChar w:fldCharType="separate"/>
      </w:r>
      <w:r>
        <w:rPr>
          <w:noProof/>
        </w:rPr>
        <w:t>(1967c)</w:t>
      </w:r>
      <w:r>
        <w:fldChar w:fldCharType="end"/>
      </w:r>
      <w:r w:rsidRPr="006A376B">
        <w:t xml:space="preserve">, </w:t>
      </w:r>
      <w:r w:rsidRPr="006A376B">
        <w:rPr>
          <w:i/>
        </w:rPr>
        <w:t xml:space="preserve">L’Écriture et la </w:t>
      </w:r>
      <w:r>
        <w:rPr>
          <w:i/>
        </w:rPr>
        <w:t>D</w:t>
      </w:r>
      <w:r w:rsidRPr="006A376B">
        <w:rPr>
          <w:i/>
        </w:rPr>
        <w:t xml:space="preserve">ifférence </w:t>
      </w:r>
      <w:r>
        <w:fldChar w:fldCharType="begin"/>
      </w:r>
      <w:r>
        <w:instrText xml:space="preserve"> ADDIN EN.CITE &lt;EndNote&gt;&lt;Cite ExcludeAuth="1"&gt;&lt;Author&gt;Derrida&lt;/Author&gt;&lt;Year&gt;1967&lt;/Year&gt;&lt;RecNum&gt;1181&lt;/RecNum&gt;&lt;DisplayText&gt;(1967b)&lt;/DisplayText&gt;&lt;record&gt;&lt;rec-number&gt;1181&lt;/rec-number&gt;&lt;foreign-keys&gt;&lt;key app="EN" db-id="xex2xftfwapr9fevte1xdv5nadff9da5rfvr" timestamp="0"&gt;1181&lt;/key&gt;&lt;key app="ENWeb" db-id="TQQOLwrtqggAACTbTtM"&gt;1081&lt;/key&gt;&lt;/foreign-keys&gt;&lt;ref-type name="Book"&gt;6&lt;/ref-type&gt;&lt;contributors&gt;&lt;authors&gt;&lt;author&gt;Jacques Derrida&lt;/author&gt;&lt;/authors&gt;&lt;/contributors&gt;&lt;titles&gt;&lt;title&gt;L’Écriture et la différence&lt;/title&gt;&lt;alt-title&gt;ÉeD&lt;/alt-title&gt;&lt;short-title&gt;Écriture&lt;/short-title&gt;&lt;/titles&gt;&lt;dates&gt;&lt;year&gt;1967&lt;/year&gt;&lt;/dates&gt;&lt;pub-location&gt;Paris&lt;/pub-location&gt;&lt;publisher&gt;Le Seuil&lt;/publisher&gt;&lt;urls&gt;&lt;/urls&gt;&lt;custom1&gt;&lt;style face="italic" font="default" size="100%"&gt;Of grammatology&lt;/style&gt;&lt;style face="normal" font="default" size="100%"&gt;. Baltimore: Johns Hopkins University Press, 1976&lt;/style&gt;&lt;/custom1&gt;&lt;custom3&gt;&lt;style face="italic" font="default" size="100%"&gt;Die Schrift und die Differenz&lt;/style&gt;&lt;style face="normal" font="default" size="100%"&gt;. Frankfurt am Main: Suhrkamp, 1989&lt;/style&gt;&lt;/custom3&gt;&lt;/record&gt;&lt;/Cite&gt;&lt;/EndNote&gt;</w:instrText>
      </w:r>
      <w:r>
        <w:fldChar w:fldCharType="separate"/>
      </w:r>
      <w:r>
        <w:rPr>
          <w:noProof/>
        </w:rPr>
        <w:t>(1967b)</w:t>
      </w:r>
      <w:r>
        <w:fldChar w:fldCharType="end"/>
      </w:r>
      <w:r w:rsidRPr="006A376B">
        <w:t xml:space="preserve"> ou </w:t>
      </w:r>
      <w:r w:rsidRPr="006A376B">
        <w:rPr>
          <w:i/>
        </w:rPr>
        <w:t xml:space="preserve">Marges de la philosophie </w:t>
      </w:r>
      <w:r>
        <w:fldChar w:fldCharType="begin"/>
      </w:r>
      <w:r>
        <w:instrText xml:space="preserve"> ADDIN EN.CITE &lt;EndNote&gt;&lt;Cite ExcludeAuth="1"&gt;&lt;Author&gt;Derrida&lt;/Author&gt;&lt;Year&gt;1972&lt;/Year&gt;&lt;RecNum&gt;326&lt;/RecNum&gt;&lt;DisplayText&gt;(1972)&lt;/DisplayText&gt;&lt;record&gt;&lt;rec-number&gt;326&lt;/rec-number&gt;&lt;foreign-keys&gt;&lt;key app="EN" db-id="xex2xftfwapr9fevte1xdv5nadff9da5rfvr" timestamp="0"&gt;326&lt;/key&gt;&lt;key app="ENWeb" db-id="TQQOLwrtqggAACTbTtM"&gt;277&lt;/key&gt;&lt;/foreign-keys&gt;&lt;ref-type name="Book"&gt;6&lt;/ref-type&gt;&lt;contributors&gt;&lt;authors&gt;&lt;author&gt;Derrida, Jacques&lt;/author&gt;&lt;/authors&gt;&lt;/contributors&gt;&lt;titles&gt;&lt;title&gt;Marges de la philosophie&lt;/title&gt;&lt;alt-title&gt;M&lt;/alt-title&gt;&lt;short-title&gt;Marges&lt;/short-title&gt;&lt;/titles&gt;&lt;dates&gt;&lt;year&gt;1972&lt;/year&gt;&lt;/dates&gt;&lt;pub-location&gt;Paris&lt;/pub-location&gt;&lt;publisher&gt;Minuit&lt;/publisher&gt;&lt;urls&gt;&lt;/urls&gt;&lt;custom1&gt;&lt;style face="italic" font="default" size="100%"&gt;Margins of Philosophy&lt;/style&gt;&lt;style face="normal" font="default" size="100%"&gt;. Chicago: University of Chicago Press, 1982&lt;/style&gt;&lt;/custom1&gt;&lt;custom3&gt;&lt;style face="italic" font="default" size="100%"&gt;Randgänge der Philosophie&lt;/style&gt;&lt;style face="normal" font="default" size="100%"&gt;. Wien: Passagen, 1988&lt;/style&gt;&lt;/custom3&gt;&lt;/record&gt;&lt;/Cite&gt;&lt;/EndNote&gt;</w:instrText>
      </w:r>
      <w:r>
        <w:fldChar w:fldCharType="separate"/>
      </w:r>
      <w:r>
        <w:rPr>
          <w:noProof/>
        </w:rPr>
        <w:t>(1972)</w:t>
      </w:r>
      <w:r>
        <w:fldChar w:fldCharType="end"/>
      </w:r>
      <w:r>
        <w:t xml:space="preserve"> avant le tournant littéraire qui s’annonce dans des ouvrages plus expérimentaux comme </w:t>
      </w:r>
      <w:r w:rsidRPr="006A376B">
        <w:rPr>
          <w:i/>
        </w:rPr>
        <w:t xml:space="preserve">Glas </w:t>
      </w:r>
      <w:r>
        <w:fldChar w:fldCharType="begin"/>
      </w:r>
      <w:r>
        <w:instrText xml:space="preserve"> ADDIN EN.CITE &lt;EndNote&gt;&lt;Cite ExcludeAuth="1"&gt;&lt;Author&gt;Derrida&lt;/Author&gt;&lt;Year&gt;1974&lt;/Year&gt;&lt;RecNum&gt;1849&lt;/RecNum&gt;&lt;DisplayText&gt;(1974)&lt;/DisplayText&gt;&lt;record&gt;&lt;rec-number&gt;1849&lt;/rec-number&gt;&lt;foreign-keys&gt;&lt;key app="EN" db-id="xex2xftfwapr9fevte1xdv5nadff9da5rfvr" timestamp="0"&gt;1849&lt;/key&gt;&lt;key app="ENWeb" db-id="TQQOLwrtqggAACTbTtM"&gt;1701&lt;/key&gt;&lt;/foreign-keys&gt;&lt;ref-type name="Book"&gt;6&lt;/ref-type&gt;&lt;contributors&gt;&lt;authors&gt;&lt;author&gt;Derrida, Jacques&lt;/author&gt;&lt;/authors&gt;&lt;/contributors&gt;&lt;titles&gt;&lt;title&gt;Glas. Que reste-t-il du savoir absolu? Vol. I+II&lt;/title&gt;&lt;/titles&gt;&lt;dates&gt;&lt;year&gt;1974&lt;/year&gt;&lt;/dates&gt;&lt;pub-location&gt;Paris&lt;/pub-location&gt;&lt;publisher&gt;Denoël&lt;/publisher&gt;&lt;urls&gt;&lt;/urls&gt;&lt;/record&gt;&lt;/Cite&gt;&lt;/EndNote&gt;</w:instrText>
      </w:r>
      <w:r>
        <w:fldChar w:fldCharType="separate"/>
      </w:r>
      <w:r>
        <w:rPr>
          <w:noProof/>
        </w:rPr>
        <w:t>(1974)</w:t>
      </w:r>
      <w:r>
        <w:fldChar w:fldCharType="end"/>
      </w:r>
      <w:r w:rsidRPr="006A376B">
        <w:t xml:space="preserve"> et </w:t>
      </w:r>
      <w:r w:rsidRPr="006A376B">
        <w:rPr>
          <w:i/>
        </w:rPr>
        <w:t>Éperons</w:t>
      </w:r>
      <w:r w:rsidRPr="006A376B">
        <w:t xml:space="preserve"> </w:t>
      </w:r>
      <w:r>
        <w:fldChar w:fldCharType="begin"/>
      </w:r>
      <w:r>
        <w:instrText xml:space="preserve"> ADDIN EN.CITE &lt;EndNote&gt;&lt;Cite ExcludeAuth="1"&gt;&lt;Author&gt;Derrida&lt;/Author&gt;&lt;Year&gt;1978&lt;/Year&gt;&lt;RecNum&gt;5662&lt;/RecNum&gt;&lt;DisplayText&gt;(1978)&lt;/DisplayText&gt;&lt;record&gt;&lt;rec-number&gt;5662&lt;/rec-number&gt;&lt;foreign-keys&gt;&lt;key app="EN" db-id="xex2xftfwapr9fevte1xdv5nadff9da5rfvr" timestamp="1404844166"&gt;5662&lt;/key&gt;&lt;/foreign-keys&gt;&lt;ref-type name="Book"&gt;6&lt;/ref-type&gt;&lt;contributors&gt;&lt;authors&gt;&lt;author&gt;Jacques Derrida&lt;/author&gt;&lt;/authors&gt;&lt;/contributors&gt;&lt;titles&gt;&lt;title&gt;Éperons. Les styles de Nietzsche&lt;/title&gt;&lt;/titles&gt;&lt;dates&gt;&lt;year&gt;1978&lt;/year&gt;&lt;/dates&gt;&lt;pub-location&gt;Paris&lt;/pub-location&gt;&lt;publisher&gt;Flammarion&lt;/publisher&gt;&lt;urls&gt;&lt;/urls&gt;&lt;/record&gt;&lt;/Cite&gt;&lt;/EndNote&gt;</w:instrText>
      </w:r>
      <w:r>
        <w:fldChar w:fldCharType="separate"/>
      </w:r>
      <w:r>
        <w:rPr>
          <w:noProof/>
        </w:rPr>
        <w:t>(1978)</w:t>
      </w:r>
      <w:r>
        <w:fldChar w:fldCharType="end"/>
      </w:r>
      <w:r w:rsidRPr="006A376B">
        <w:t xml:space="preserve">. </w:t>
      </w:r>
      <w:r>
        <w:t xml:space="preserve">Pendant la </w:t>
      </w:r>
      <w:r w:rsidRPr="006A376B">
        <w:t>période</w:t>
      </w:r>
      <w:r>
        <w:t xml:space="preserve"> déconstructiviste</w:t>
      </w:r>
      <w:r w:rsidRPr="006A376B">
        <w:t xml:space="preserve">, </w:t>
      </w:r>
      <w:r>
        <w:t xml:space="preserve">on voit déjà l’intérêt du philosophe pour la question de l’écriture : toute philosophie passant par l’écriture, </w:t>
      </w:r>
      <w:r w:rsidRPr="006A376B">
        <w:t xml:space="preserve">les systèmes conceptuels philosophiques, notamment issus des traditions européennes, sont soumis à une critique immanente </w:t>
      </w:r>
      <w:r>
        <w:t xml:space="preserve">qui dégage leurs </w:t>
      </w:r>
      <w:r w:rsidRPr="006A376B">
        <w:t xml:space="preserve">apories internes. Partant du point de vue que tout concept philosophique ne prend sens qu’en se distinguant d’autres concepts, Derrida pointe la contradiction inhérente à une tradition métaphysique ou logocentrique qui conçoit le sens comme l’expression d’une </w:t>
      </w:r>
      <w:r>
        <w:t>origine</w:t>
      </w:r>
      <w:r w:rsidRPr="006A376B">
        <w:t xml:space="preserve"> créatrice de sens – sous la forme d’une conscience intentionnelle, d’une instance </w:t>
      </w:r>
      <w:proofErr w:type="spellStart"/>
      <w:r w:rsidRPr="006A376B">
        <w:t>auctoriale</w:t>
      </w:r>
      <w:proofErr w:type="spellEnd"/>
      <w:r w:rsidRPr="006A376B">
        <w:t xml:space="preserve"> ou d’un sujet parlant. Si le sens des concepts se forme à partir de leur différence, aucun concept ne peut prétendre à un sens intrinsèque. Dans la perspective déconstructiviste, il s’agit d’une critique des tentatives visant à enfermer ce jeu dans un système conceptuel philosophique et à le ramener à une origine métaphysique de la création de sens. Ainsi le regard se déplace-t-il de la sémantique des concepts à la matérialité des signes, mots, textes, dont les effets de sens sont ramenés </w:t>
      </w:r>
      <w:r>
        <w:t>au décentrement qu’opère la « différance »</w:t>
      </w:r>
      <w:r w:rsidRPr="006A376B">
        <w:t xml:space="preserve">. La déconstruction peut dès lors apparaître comme un processus qui s’effectue sans sujet ni auteur et qui opère uniquement avec des textes. </w:t>
      </w:r>
    </w:p>
    <w:p w14:paraId="21785876" w14:textId="77777777" w:rsidR="0055302E" w:rsidRPr="006A376B" w:rsidRDefault="0055302E" w:rsidP="00D75801">
      <w:pPr>
        <w:ind w:firstLine="567"/>
        <w:jc w:val="both"/>
      </w:pPr>
      <w:r>
        <w:t>C</w:t>
      </w:r>
      <w:r w:rsidRPr="006A376B">
        <w:t>ependant</w:t>
      </w:r>
      <w:r>
        <w:t>,</w:t>
      </w:r>
      <w:r w:rsidRPr="006A376B">
        <w:t xml:space="preserve"> </w:t>
      </w:r>
      <w:r>
        <w:t>l</w:t>
      </w:r>
      <w:r w:rsidRPr="006A376B">
        <w:t xml:space="preserve">e nom </w:t>
      </w:r>
      <w:r>
        <w:t xml:space="preserve">même </w:t>
      </w:r>
      <w:r w:rsidRPr="006A376B">
        <w:t>de Derrida reste indissolublement lié au concept de déconstruction, dont il est considéré comme l’inventeur, et il est souvent questi</w:t>
      </w:r>
      <w:r>
        <w:t>on de « </w:t>
      </w:r>
      <w:proofErr w:type="spellStart"/>
      <w:r>
        <w:t>déconstructivisme</w:t>
      </w:r>
      <w:proofErr w:type="spellEnd"/>
      <w:r>
        <w:t xml:space="preserve"> derridi</w:t>
      </w:r>
      <w:r w:rsidRPr="006A376B">
        <w:t xml:space="preserve">en », de « déconstruction selon Derrida » ou de « Derrida, le père de la philosophie de </w:t>
      </w:r>
      <w:r>
        <w:t>la déconstruction</w:t>
      </w:r>
      <w:r w:rsidRPr="006A376B">
        <w:t xml:space="preserve"> ». </w:t>
      </w:r>
      <w:r>
        <w:t>L</w:t>
      </w:r>
      <w:r w:rsidRPr="006A376B">
        <w:t>’association du projet et de l’auteur, de la doctrine et du nom, n’entre-t-elle pas en contradiction avec l’idée déconstructiviste de la philosophie envisagée comme pur texte se (dé-)construisant lui-même</w:t>
      </w:r>
      <w:r>
        <w:t> ?</w:t>
      </w:r>
      <w:r w:rsidRPr="006A376B">
        <w:t xml:space="preserve"> Si l’on ramène toujours la déconstruction à son (présumé) inventeur, peut-on encore accréditer le pur </w:t>
      </w:r>
      <w:proofErr w:type="spellStart"/>
      <w:r w:rsidRPr="006A376B">
        <w:t>textualisme</w:t>
      </w:r>
      <w:proofErr w:type="spellEnd"/>
      <w:r w:rsidRPr="006A376B">
        <w:t xml:space="preserve"> </w:t>
      </w:r>
      <w:r>
        <w:t>de la « déconstruction derridien</w:t>
      </w:r>
      <w:r w:rsidRPr="006A376B">
        <w:t xml:space="preserve">ne » ? En prenant appui sur des textes de Derrida, je voudrais montrer ici qu’en effet les textes de la déconstruction eux-mêmes renvoient inévitablement aux positions énonciatives du discours, entre autres à celle de « l’auteur ». Ceci a pour corrélat un déplacement théorique : on passe de la philosophie comme texte à la philosophie comme discours et par conséquent de la sémiotique structurale à l’analyse du discours. On discutera la question de savoir dans quelle mesure ce déplacement contredit </w:t>
      </w:r>
      <w:proofErr w:type="gramStart"/>
      <w:r w:rsidRPr="006A376B">
        <w:t>ou</w:t>
      </w:r>
      <w:proofErr w:type="gramEnd"/>
      <w:r w:rsidRPr="006A376B">
        <w:t xml:space="preserve"> corrobore l</w:t>
      </w:r>
      <w:r>
        <w:t>e geste</w:t>
      </w:r>
      <w:r w:rsidRPr="006A376B">
        <w:t xml:space="preserve"> critique de la déconstruction. </w:t>
      </w:r>
    </w:p>
    <w:p w14:paraId="20E67877" w14:textId="77777777" w:rsidR="0055302E" w:rsidRDefault="0055302E" w:rsidP="00D75801">
      <w:pPr>
        <w:ind w:firstLine="567"/>
        <w:jc w:val="both"/>
      </w:pPr>
      <w:r w:rsidRPr="006A376B">
        <w:t xml:space="preserve">Dans mon </w:t>
      </w:r>
      <w:r>
        <w:t>étude</w:t>
      </w:r>
      <w:r w:rsidRPr="006A376B">
        <w:t xml:space="preserve"> d’un texte déconstructiviste de Derrida, je m’appuie sur des courants </w:t>
      </w:r>
      <w:proofErr w:type="spellStart"/>
      <w:r w:rsidRPr="006A376B">
        <w:t>post-struct</w:t>
      </w:r>
      <w:r>
        <w:t>uralistes</w:t>
      </w:r>
      <w:proofErr w:type="spellEnd"/>
      <w:r>
        <w:t xml:space="preserve"> qui se sont constitué</w:t>
      </w:r>
      <w:r w:rsidRPr="006A376B">
        <w:t xml:space="preserve">s dans le champ des approches </w:t>
      </w:r>
      <w:proofErr w:type="spellStart"/>
      <w:r w:rsidRPr="006A376B">
        <w:t>énonciativo</w:t>
      </w:r>
      <w:proofErr w:type="spellEnd"/>
      <w:r w:rsidRPr="006A376B">
        <w:t xml:space="preserve">-pragmatiques de l’analyse du discours </w:t>
      </w:r>
      <w:r>
        <w:fldChar w:fldCharType="begin"/>
      </w:r>
      <w:r>
        <w:instrText xml:space="preserve"> ADDIN EN.CITE &lt;EndNote&gt;&lt;Cite&gt;&lt;Author&gt;Maingueneau&lt;/Author&gt;&lt;Year&gt;1991&lt;/Year&gt;&lt;RecNum&gt;1564&lt;/RecNum&gt;&lt;Prefix&gt;cf. &lt;/Prefix&gt;&lt;DisplayText&gt;(cf. Maingueneau 1991)&lt;/DisplayText&gt;&lt;record&gt;&lt;rec-number&gt;1564&lt;/rec-number&gt;&lt;foreign-keys&gt;&lt;key app="EN" db-id="xex2xftfwapr9fevte1xdv5nadff9da5rfvr" timestamp="0"&gt;1564&lt;/key&gt;&lt;key app="ENWeb" db-id="TQQOLwrtqggAACTbTtM"&gt;1426&lt;/key&gt;&lt;/foreign-keys&gt;&lt;ref-type name="Book"&gt;6&lt;/ref-type&gt;&lt;contributors&gt;&lt;authors&gt;&lt;author&gt;Maingueneau, Dominique&lt;/author&gt;&lt;/authors&gt;&lt;/contributors&gt;&lt;titles&gt;&lt;title&gt;L’Analyse du discours. Introduction aux lectures de l’archive&lt;/title&gt;&lt;/titles&gt;&lt;dates&gt;&lt;year&gt;1991&lt;/year&gt;&lt;/dates&gt;&lt;pub-location&gt;Paris&lt;/pub-location&gt;&lt;publisher&gt;Hachette&lt;/publisher&gt;&lt;urls&gt;&lt;/urls&gt;&lt;/record&gt;&lt;/Cite&gt;&lt;/EndNote&gt;</w:instrText>
      </w:r>
      <w:r>
        <w:fldChar w:fldCharType="separate"/>
      </w:r>
      <w:r>
        <w:rPr>
          <w:noProof/>
        </w:rPr>
        <w:t>(voir Maingueneau 1991)</w:t>
      </w:r>
      <w:r>
        <w:fldChar w:fldCharType="end"/>
      </w:r>
      <w:r w:rsidRPr="006A376B">
        <w:t xml:space="preserve">. Dans </w:t>
      </w:r>
      <w:r>
        <w:t>la perspective</w:t>
      </w:r>
      <w:r w:rsidRPr="006A376B">
        <w:t xml:space="preserve"> </w:t>
      </w:r>
      <w:r>
        <w:t xml:space="preserve">de mon </w:t>
      </w:r>
      <w:r w:rsidRPr="003514D1">
        <w:rPr>
          <w:i/>
        </w:rPr>
        <w:lastRenderedPageBreak/>
        <w:t xml:space="preserve">Analyse du discours poststructuraliste </w:t>
      </w:r>
      <w:r>
        <w:fldChar w:fldCharType="begin"/>
      </w:r>
      <w:r>
        <w:instrText xml:space="preserve"> ADDIN EN.CITE &lt;EndNote&gt;&lt;Cite&gt;&lt;Author&gt;Angermuller&lt;/Author&gt;&lt;Year&gt;2013&lt;/Year&gt;&lt;RecNum&gt;5089&lt;/RecNum&gt;&lt;DisplayText&gt;(Angermuller 2013a)&lt;/DisplayText&gt;&lt;record&gt;&lt;rec-number&gt;5089&lt;/rec-number&gt;&lt;foreign-keys&gt;&lt;key app="EN" db-id="xex2xftfwapr9fevte1xdv5nadff9da5rfvr" timestamp="1328475348"&gt;5089&lt;/key&gt;&lt;/foreign-keys&gt;&lt;ref-type name="Book"&gt;6&lt;/ref-type&gt;&lt;contributors&gt;&lt;authors&gt;&lt;author&gt;Angermuller, Johannes&lt;/author&gt;&lt;/authors&gt;&lt;/contributors&gt;&lt;titles&gt;&lt;title&gt;Analyse du discours poststructuraliste. Les voix du sujet dans le langage chez Lacan, Althusser, Foucault, Derrida et Sollers&lt;/title&gt;&lt;/titles&gt;&lt;dates&gt;&lt;year&gt;2013&lt;/year&gt;&lt;/dates&gt;&lt;pub-location&gt;Limoges&lt;/pub-location&gt;&lt;publisher&gt;Lambert Lucas&lt;/publisher&gt;&lt;urls&gt;&lt;/urls&gt;&lt;/record&gt;&lt;/Cite&gt;&lt;/EndNote&gt;</w:instrText>
      </w:r>
      <w:r>
        <w:fldChar w:fldCharType="separate"/>
      </w:r>
      <w:r>
        <w:rPr>
          <w:noProof/>
        </w:rPr>
        <w:t>(Angermuller 2013a)</w:t>
      </w:r>
      <w:r>
        <w:fldChar w:fldCharType="end"/>
      </w:r>
      <w:r>
        <w:t xml:space="preserve">, </w:t>
      </w:r>
      <w:r w:rsidRPr="006A376B">
        <w:t xml:space="preserve">on a affaire à des énoncés qui, dans l’énonciation, instruisent le lecteur sur les contextes non conceptuels dont il a besoin pour comprendre leurs contenus conceptuels. La question est dès lors de savoir comment les textes orchestrent des contextes non conceptuels, à savoir des énonciateurs, des positions et des sources, sans lesquels les concepts et les contenus du débat théorique se fondraient en un </w:t>
      </w:r>
      <w:r>
        <w:t>brouhaha</w:t>
      </w:r>
      <w:r w:rsidRPr="006A376B">
        <w:t xml:space="preserve"> où il ne serait même plus possible de distinguer qui parle. </w:t>
      </w:r>
      <w:r>
        <w:t>Ici, j</w:t>
      </w:r>
      <w:r w:rsidRPr="006A376B">
        <w:t xml:space="preserve">e m’intéresse en particulier aux diverses voix et aux divers </w:t>
      </w:r>
      <w:r>
        <w:t>énonciateurs</w:t>
      </w:r>
      <w:r w:rsidRPr="006A376B">
        <w:t xml:space="preserve"> qui sont convoqués lorsque les textes et les contextes se rattachent à </w:t>
      </w:r>
      <w:r>
        <w:t xml:space="preserve">un </w:t>
      </w:r>
      <w:r w:rsidRPr="006A376B">
        <w:t>discours et requièrent du lecteur qu’il</w:t>
      </w:r>
      <w:r>
        <w:t>s</w:t>
      </w:r>
      <w:r w:rsidRPr="006A376B">
        <w:t xml:space="preserve"> con</w:t>
      </w:r>
      <w:r>
        <w:t>struisent des contenus théoriques</w:t>
      </w:r>
      <w:r w:rsidRPr="006A376B">
        <w:t xml:space="preserve"> </w:t>
      </w:r>
      <w:r>
        <w:fldChar w:fldCharType="begin"/>
      </w:r>
      <w:r>
        <w:instrText xml:space="preserve"> ADDIN EN.CITE &lt;EndNote&gt;&lt;Cite&gt;&lt;Author&gt;Ducrot&lt;/Author&gt;&lt;Year&gt;1984&lt;/Year&gt;&lt;RecNum&gt;1368&lt;/RecNum&gt;&lt;DisplayText&gt;(Ducrot 1984; Nølke, Fløttum et Norén 2004)&lt;/DisplayText&gt;&lt;record&gt;&lt;rec-number&gt;1368&lt;/rec-number&gt;&lt;foreign-keys&gt;&lt;key app="EN" db-id="xex2xftfwapr9fevte1xdv5nadff9da5rfvr" timestamp="0"&gt;1368&lt;/key&gt;&lt;key app="ENWeb" db-id="TQQOLwrtqggAACTbTtM"&gt;1231&lt;/key&gt;&lt;/foreign-keys&gt;&lt;ref-type name="Book"&gt;6&lt;/ref-type&gt;&lt;contributors&gt;&lt;authors&gt;&lt;author&gt;Oswald Ducrot&lt;/author&gt;&lt;/authors&gt;&lt;/contributors&gt;&lt;titles&gt;&lt;title&gt;Le Dire et le dit&lt;/title&gt;&lt;/titles&gt;&lt;dates&gt;&lt;year&gt;1984&lt;/year&gt;&lt;/dates&gt;&lt;pub-location&gt;Paris&lt;/pub-location&gt;&lt;publisher&gt;Minuit&lt;/publisher&gt;&lt;urls&gt;&lt;/urls&gt;&lt;/record&gt;&lt;/Cite&gt;&lt;Cite&gt;&lt;Author&gt;Nølke&lt;/Author&gt;&lt;Year&gt;2004&lt;/Year&gt;&lt;RecNum&gt;3506&lt;/RecNum&gt;&lt;record&gt;&lt;rec-number&gt;3506&lt;/rec-number&gt;&lt;foreign-keys&gt;&lt;key app="EN" db-id="xex2xftfwapr9fevte1xdv5nadff9da5rfvr" timestamp="0"&gt;3506&lt;/key&gt;&lt;key app="ENWeb" db-id="TQQOLwrtqggAACTbTtM"&gt;2862&lt;/key&gt;&lt;/foreign-keys&gt;&lt;ref-type name="Book"&gt;6&lt;/ref-type&gt;&lt;contributors&gt;&lt;authors&gt;&lt;author&gt;Nølke, Henning&lt;/author&gt;&lt;author&gt;Fløttum, Kjersti&lt;/author&gt;&lt;author&gt;Norén, Coco&lt;/author&gt;&lt;/authors&gt;&lt;/contributors&gt;&lt;titles&gt;&lt;title&gt;ScaPoLine. La théorie scandinave de la polyphonie linguistique&lt;/title&gt;&lt;/titles&gt;&lt;dates&gt;&lt;year&gt;2004&lt;/year&gt;&lt;/dates&gt;&lt;pub-location&gt;Paris&lt;/pub-location&gt;&lt;publisher&gt;Kimé&lt;/publisher&gt;&lt;urls&gt;&lt;/urls&gt;&lt;research-notes&gt;b&lt;/research-notes&gt;&lt;/record&gt;&lt;/Cite&gt;&lt;/EndNote&gt;</w:instrText>
      </w:r>
      <w:r>
        <w:fldChar w:fldCharType="separate"/>
      </w:r>
      <w:r>
        <w:rPr>
          <w:noProof/>
        </w:rPr>
        <w:t>(Ducrot 1984 ; Nølke, Fløttum et Norén 2004)</w:t>
      </w:r>
      <w:r>
        <w:fldChar w:fldCharType="end"/>
      </w:r>
      <w:r w:rsidRPr="006A376B">
        <w:t xml:space="preserve">. </w:t>
      </w:r>
      <w:r>
        <w:t>L</w:t>
      </w:r>
      <w:r w:rsidRPr="006A376B">
        <w:t xml:space="preserve">es approches </w:t>
      </w:r>
      <w:proofErr w:type="spellStart"/>
      <w:r>
        <w:t>pragmatico</w:t>
      </w:r>
      <w:proofErr w:type="spellEnd"/>
      <w:r>
        <w:t>-énonciatives</w:t>
      </w:r>
      <w:r w:rsidRPr="006A376B">
        <w:t xml:space="preserve"> mettent l’accent sur les marqueurs énonciatifs</w:t>
      </w:r>
      <w:r>
        <w:t>, autant de</w:t>
      </w:r>
      <w:r w:rsidRPr="006A376B">
        <w:t xml:space="preserve"> traces formelles qui </w:t>
      </w:r>
      <w:r>
        <w:t>révèlent le caractère « feuilleté</w:t>
      </w:r>
      <w:r w:rsidRPr="006A376B">
        <w:t xml:space="preserve"> » du processus énonciatif. Dans </w:t>
      </w:r>
      <w:r>
        <w:t>cette</w:t>
      </w:r>
      <w:r w:rsidRPr="006A376B">
        <w:t xml:space="preserve"> perspective, les textes théoriques opèrent avec une pluralité de voix qui produisent tantôt u</w:t>
      </w:r>
      <w:r>
        <w:t xml:space="preserve">ne harmonie concertée tantôt une cacophonie. </w:t>
      </w:r>
      <w:r w:rsidRPr="006A376B">
        <w:t>Plutôt que comme une grande structure fermée, dans laquelle tous les éléments occupent une place fonctionnelle, je co</w:t>
      </w:r>
      <w:r>
        <w:t>mprends</w:t>
      </w:r>
      <w:r w:rsidRPr="006A376B">
        <w:t xml:space="preserve"> le discours comme un processus de formation d’énoncés, qui se caractérisent par leur </w:t>
      </w:r>
      <w:r>
        <w:t>constitution</w:t>
      </w:r>
      <w:r w:rsidRPr="006A376B">
        <w:t xml:space="preserve"> hétérogène et dialogique. </w:t>
      </w:r>
      <w:r>
        <w:t xml:space="preserve">En écho à </w:t>
      </w:r>
      <w:r w:rsidRPr="006A376B">
        <w:t>Mikhaïl Bakhtine</w:t>
      </w:r>
      <w:r>
        <w:t>,</w:t>
      </w:r>
      <w:r w:rsidRPr="006A376B">
        <w:t xml:space="preserve"> </w:t>
      </w:r>
      <w:r>
        <w:t xml:space="preserve">on </w:t>
      </w:r>
      <w:r w:rsidRPr="006A376B">
        <w:t>souligne</w:t>
      </w:r>
      <w:r>
        <w:t>ra</w:t>
      </w:r>
      <w:r w:rsidRPr="006A376B">
        <w:t xml:space="preserve"> l’organisation polyphonique et dialogique du discours, qui confronte sans cesse le lecteur à la question</w:t>
      </w:r>
      <w:r>
        <w:t> </w:t>
      </w:r>
      <w:r w:rsidRPr="006A376B">
        <w:t>: qui parle</w:t>
      </w:r>
      <w:r>
        <w:t> </w:t>
      </w:r>
      <w:r w:rsidRPr="006A376B">
        <w:t>?</w:t>
      </w:r>
    </w:p>
    <w:p w14:paraId="44A83FA7" w14:textId="77777777" w:rsidR="0055302E" w:rsidRDefault="0055302E" w:rsidP="00D75801">
      <w:pPr>
        <w:ind w:firstLine="567"/>
        <w:jc w:val="both"/>
      </w:pPr>
      <w:r w:rsidRPr="006A376B">
        <w:t xml:space="preserve">Une telle perspective sur le discours peut être qualifiée de </w:t>
      </w:r>
      <w:r>
        <w:t>poststructuraliste</w:t>
      </w:r>
      <w:r w:rsidRPr="006A376B">
        <w:t xml:space="preserve"> à double titre </w:t>
      </w:r>
      <w:r>
        <w:fldChar w:fldCharType="begin"/>
      </w:r>
      <w:r>
        <w:instrText xml:space="preserve"> ADDIN EN.CITE &lt;EndNote&gt;&lt;Cite&gt;&lt;Author&gt;Angermuller&lt;/Author&gt;&lt;Year&gt;2013&lt;/Year&gt;&lt;RecNum&gt;5089&lt;/RecNum&gt;&lt;DisplayText&gt;(Angermuller 2013a)&lt;/DisplayText&gt;&lt;record&gt;&lt;rec-number&gt;5089&lt;/rec-number&gt;&lt;foreign-keys&gt;&lt;key app="EN" db-id="xex2xftfwapr9fevte1xdv5nadff9da5rfvr" timestamp="1328475348"&gt;5089&lt;/key&gt;&lt;/foreign-keys&gt;&lt;ref-type name="Book"&gt;6&lt;/ref-type&gt;&lt;contributors&gt;&lt;authors&gt;&lt;author&gt;Angermuller, Johannes&lt;/author&gt;&lt;/authors&gt;&lt;/contributors&gt;&lt;titles&gt;&lt;title&gt;Analyse du discours poststructuraliste. Les voix du sujet dans le langage chez Lacan, Althusser, Foucault, Derrida et Sollers&lt;/title&gt;&lt;/titles&gt;&lt;dates&gt;&lt;year&gt;2013&lt;/year&gt;&lt;/dates&gt;&lt;pub-location&gt;Limoges&lt;/pub-location&gt;&lt;publisher&gt;Lambert Lucas&lt;/publisher&gt;&lt;urls&gt;&lt;/urls&gt;&lt;/record&gt;&lt;/Cite&gt;&lt;/EndNote&gt;</w:instrText>
      </w:r>
      <w:r>
        <w:fldChar w:fldCharType="separate"/>
      </w:r>
      <w:r>
        <w:rPr>
          <w:noProof/>
        </w:rPr>
        <w:t>(Angermuller 2013a)</w:t>
      </w:r>
      <w:r>
        <w:fldChar w:fldCharType="end"/>
      </w:r>
      <w:r w:rsidRPr="006A376B">
        <w:t xml:space="preserve">. Si </w:t>
      </w:r>
      <w:r>
        <w:t>c</w:t>
      </w:r>
      <w:r w:rsidRPr="006A376B">
        <w:t>elle</w:t>
      </w:r>
      <w:r>
        <w:t>-ci</w:t>
      </w:r>
      <w:r w:rsidRPr="006A376B">
        <w:t xml:space="preserve"> se distingue des modèles </w:t>
      </w:r>
      <w:proofErr w:type="spellStart"/>
      <w:r w:rsidRPr="006A376B">
        <w:t>textualistes</w:t>
      </w:r>
      <w:proofErr w:type="spellEnd"/>
      <w:r w:rsidRPr="006A376B">
        <w:t xml:space="preserve"> de la différence, tels que revendiqués également par Derrida, elle poursuit leur remise en question critique du sujet et de l’auteur en prenant ceux-ci comme des effets de l’usage linguistique.</w:t>
      </w:r>
      <w:r>
        <w:t xml:space="preserve"> Cette</w:t>
      </w:r>
      <w:r w:rsidRPr="006A376B">
        <w:t xml:space="preserve"> approche se démarque des mod</w:t>
      </w:r>
      <w:r>
        <w:t>a</w:t>
      </w:r>
      <w:r w:rsidRPr="006A376B">
        <w:t xml:space="preserve">lités spécifiques de l’énonciation et montre comment des </w:t>
      </w:r>
      <w:r>
        <w:t>bribes</w:t>
      </w:r>
      <w:r w:rsidRPr="006A376B">
        <w:t xml:space="preserve"> de discours, voire des énoncés isolés, cristallisent le savoir complexe </w:t>
      </w:r>
      <w:r>
        <w:t>dont dispose</w:t>
      </w:r>
      <w:r w:rsidRPr="006A376B">
        <w:t xml:space="preserve"> le lecteur </w:t>
      </w:r>
      <w:r>
        <w:t>concernant le contexte d’énonciation</w:t>
      </w:r>
      <w:r w:rsidRPr="006A376B">
        <w:t xml:space="preserve">. Étudier les discours sous l’angle de l’analyse </w:t>
      </w:r>
      <w:r>
        <w:t>énonciative</w:t>
      </w:r>
      <w:r w:rsidRPr="006A376B">
        <w:t xml:space="preserve">, cela veut dire </w:t>
      </w:r>
      <w:r w:rsidRPr="00751171">
        <w:t>scruter les traces formelles de l’énonciation disséminées dans les énoncés</w:t>
      </w:r>
      <w:r>
        <w:rPr>
          <w:rStyle w:val="CommentReference"/>
          <w:rFonts w:ascii="Calibri" w:hAnsi="Calibri"/>
        </w:rPr>
        <w:t xml:space="preserve">. </w:t>
      </w:r>
      <w:r w:rsidRPr="006A376B">
        <w:t>L’analyse post</w:t>
      </w:r>
      <w:r>
        <w:t>st</w:t>
      </w:r>
      <w:r w:rsidRPr="006A376B">
        <w:t xml:space="preserve">ructuraliste du discours souligne ainsi l’hétérogénéité qui est propre au discours jusqu’au niveau de ses énoncés isolés. </w:t>
      </w:r>
    </w:p>
    <w:p w14:paraId="059EBC05" w14:textId="77777777" w:rsidR="0055302E" w:rsidRPr="006A376B" w:rsidRDefault="0055302E" w:rsidP="00D75801">
      <w:pPr>
        <w:ind w:firstLine="567"/>
        <w:jc w:val="both"/>
      </w:pPr>
      <w:r>
        <w:t>À</w:t>
      </w:r>
      <w:r w:rsidRPr="006A376B">
        <w:t xml:space="preserve"> l’aide d’un exemple</w:t>
      </w:r>
      <w:r>
        <w:t>,</w:t>
      </w:r>
      <w:r w:rsidRPr="006A376B">
        <w:t xml:space="preserve"> </w:t>
      </w:r>
      <w:r>
        <w:t>j</w:t>
      </w:r>
      <w:r w:rsidRPr="006A376B">
        <w:t xml:space="preserve">e </w:t>
      </w:r>
      <w:r>
        <w:t>voudrais maintena</w:t>
      </w:r>
      <w:r w:rsidRPr="006A376B">
        <w:t xml:space="preserve">nt montrer que </w:t>
      </w:r>
      <w:r>
        <w:t>même les</w:t>
      </w:r>
      <w:r w:rsidRPr="006A376B">
        <w:t xml:space="preserve"> textes </w:t>
      </w:r>
      <w:r>
        <w:t xml:space="preserve">apparemment purement </w:t>
      </w:r>
      <w:r w:rsidRPr="006A376B">
        <w:t>conceptuels exigent</w:t>
      </w:r>
      <w:r>
        <w:t>, pour faire sens,</w:t>
      </w:r>
      <w:r w:rsidRPr="006A376B">
        <w:t xml:space="preserve"> un renvoi à l’orchestration polyphonique des </w:t>
      </w:r>
      <w:r>
        <w:t>énonciateurs du discours</w:t>
      </w:r>
      <w:r w:rsidRPr="006A376B">
        <w:t xml:space="preserve">. </w:t>
      </w:r>
      <w:r>
        <w:t>Mon choix s’est porté</w:t>
      </w:r>
      <w:r w:rsidRPr="006A376B">
        <w:t xml:space="preserve"> sur un extrait de </w:t>
      </w:r>
      <w:r w:rsidRPr="006A376B">
        <w:rPr>
          <w:i/>
        </w:rPr>
        <w:t xml:space="preserve">La Voix et le </w:t>
      </w:r>
      <w:r>
        <w:rPr>
          <w:i/>
        </w:rPr>
        <w:t>P</w:t>
      </w:r>
      <w:r w:rsidRPr="006A376B">
        <w:rPr>
          <w:i/>
        </w:rPr>
        <w:t>hénomène</w:t>
      </w:r>
      <w:r w:rsidRPr="006A376B">
        <w:t xml:space="preserve"> </w:t>
      </w:r>
      <w:r>
        <w:t>de Jacques Derrida</w:t>
      </w:r>
      <w:r w:rsidRPr="006A376B">
        <w:rPr>
          <w:i/>
        </w:rPr>
        <w:t>,</w:t>
      </w:r>
      <w:r w:rsidRPr="006A376B">
        <w:t xml:space="preserve"> </w:t>
      </w:r>
      <w:r>
        <w:t xml:space="preserve">livre </w:t>
      </w:r>
      <w:r w:rsidRPr="006A376B">
        <w:t xml:space="preserve">dans lequel </w:t>
      </w:r>
      <w:r>
        <w:t xml:space="preserve">ce dernier </w:t>
      </w:r>
      <w:r w:rsidRPr="006A376B">
        <w:t>entreprend une lecture déconstructiviste de la théorie des signe</w:t>
      </w:r>
      <w:r>
        <w:t>s d’Edmund Husserl</w:t>
      </w:r>
      <w:r w:rsidRPr="006A376B">
        <w:t xml:space="preserve">. </w:t>
      </w:r>
      <w:r>
        <w:t>Deux raisons motivent ce choix</w:t>
      </w:r>
      <w:r w:rsidRPr="006A376B">
        <w:t>. D’une part,</w:t>
      </w:r>
      <w:r>
        <w:t xml:space="preserve"> nous verrons que même un texte</w:t>
      </w:r>
      <w:r w:rsidRPr="006A376B">
        <w:t xml:space="preserve"> qui</w:t>
      </w:r>
      <w:r>
        <w:t>,</w:t>
      </w:r>
      <w:r w:rsidRPr="006A376B">
        <w:t xml:space="preserve"> avec le raffinement propre à l’écriture de Derrida</w:t>
      </w:r>
      <w:r>
        <w:t>,</w:t>
      </w:r>
      <w:r w:rsidRPr="006A376B">
        <w:t xml:space="preserve"> tente d’</w:t>
      </w:r>
      <w:r>
        <w:t>étayer</w:t>
      </w:r>
      <w:r w:rsidRPr="006A376B">
        <w:t xml:space="preserve"> la célèbre formule déconstructiviste</w:t>
      </w:r>
      <w:r>
        <w:t> :</w:t>
      </w:r>
      <w:r w:rsidRPr="006A376B">
        <w:t xml:space="preserve"> </w:t>
      </w:r>
      <w:r w:rsidRPr="006A376B">
        <w:rPr>
          <w:i/>
        </w:rPr>
        <w:t>Il n’y a pas de hors-texte</w:t>
      </w:r>
      <w:r w:rsidRPr="006A376B">
        <w:t xml:space="preserve"> </w:t>
      </w:r>
      <w:r>
        <w:fldChar w:fldCharType="begin"/>
      </w:r>
      <w:r>
        <w:instrText xml:space="preserve"> ADDIN EN.CITE &lt;EndNote&gt;&lt;Cite&gt;&lt;Author&gt;Derrida&lt;/Author&gt;&lt;Year&gt;1967&lt;/Year&gt;&lt;RecNum&gt;283&lt;/RecNum&gt;&lt;Pages&gt;227&lt;/Pages&gt;&lt;DisplayText&gt;(Derrida 1967a: 227)&lt;/DisplayText&gt;&lt;record&gt;&lt;rec-number&gt;283&lt;/rec-number&gt;&lt;foreign-keys&gt;&lt;key app="EN" db-id="xex2xftfwapr9fevte1xdv5nadff9da5rfvr" timestamp="0"&gt;283&lt;/key&gt;&lt;key app="ENWeb" db-id="TQQOLwrtqggAACTbTtM"&gt;245&lt;/key&gt;&lt;/foreign-keys&gt;&lt;ref-type name="Book"&gt;6&lt;/ref-type&gt;&lt;contributors&gt;&lt;authors&gt;&lt;author&gt;Derrida, Jacques&lt;/author&gt;&lt;/authors&gt;&lt;/contributors&gt;&lt;titles&gt;&lt;title&gt;De la grammatologie&lt;/title&gt;&lt;alt-title&gt;Gr&lt;/alt-title&gt;&lt;/titles&gt;&lt;dates&gt;&lt;year&gt;1967&lt;/year&gt;&lt;/dates&gt;&lt;pub-location&gt;Paris&lt;/pub-location&gt;&lt;publisher&gt;Minuit&lt;/publisher&gt;&lt;urls&gt;&lt;/urls&gt;&lt;custom1&gt;&lt;style face="italic" font="default" size="100%"&gt;Of grammatology&lt;/style&gt;&lt;style face="normal" font="default" size="100%"&gt;. Baltimore: Johns Hopkins University Press, 1976&lt;/style&gt;&lt;/custom1&gt;&lt;custom3&gt;&lt;style face="italic" font="default" size="100%"&gt;Grammatologie&lt;/style&gt;&lt;style face="normal" font="default" size="100%"&gt;. Frankfurt am Main: Suhrkamp, 2004&lt;/style&gt;&lt;/custom3&gt;&lt;/record&gt;&lt;/Cite&gt;&lt;/EndNote&gt;</w:instrText>
      </w:r>
      <w:r>
        <w:fldChar w:fldCharType="separate"/>
      </w:r>
      <w:r>
        <w:rPr>
          <w:noProof/>
        </w:rPr>
        <w:t>(Derrida 1967a: 227)</w:t>
      </w:r>
      <w:r>
        <w:fldChar w:fldCharType="end"/>
      </w:r>
      <w:r>
        <w:t>,</w:t>
      </w:r>
      <w:r w:rsidRPr="006A376B">
        <w:t xml:space="preserve"> ne peut dire ce qu’il veut dire </w:t>
      </w:r>
      <w:r>
        <w:t>qu’</w:t>
      </w:r>
      <w:r w:rsidRPr="006A376B">
        <w:t>en faisant précisé</w:t>
      </w:r>
      <w:r>
        <w:t>ment ce qu’il ne veut pas faire :</w:t>
      </w:r>
      <w:r w:rsidRPr="006A376B">
        <w:t xml:space="preserve"> </w:t>
      </w:r>
      <w:r>
        <w:t>en renvoyant</w:t>
      </w:r>
      <w:r w:rsidRPr="006A376B">
        <w:t xml:space="preserve"> à des contextes</w:t>
      </w:r>
      <w:r>
        <w:t xml:space="preserve"> et en rendant visibles</w:t>
      </w:r>
      <w:r w:rsidRPr="006A376B">
        <w:t xml:space="preserve"> </w:t>
      </w:r>
      <w:r>
        <w:t>ceux qui parlent</w:t>
      </w:r>
      <w:r w:rsidRPr="006A376B">
        <w:t xml:space="preserve">. D’autre part, il apparaît clairement que le théoricien ne parle pas seul. Il </w:t>
      </w:r>
      <w:r>
        <w:t>se réfère</w:t>
      </w:r>
      <w:r w:rsidRPr="006A376B">
        <w:t xml:space="preserve"> à tout un bat</w:t>
      </w:r>
      <w:r>
        <w:t xml:space="preserve">aillon d’énonciateurs </w:t>
      </w:r>
      <w:r w:rsidRPr="006A376B">
        <w:t xml:space="preserve">généralement anonymes, avec qui </w:t>
      </w:r>
      <w:r>
        <w:t>il fait</w:t>
      </w:r>
      <w:r w:rsidRPr="006A376B">
        <w:t xml:space="preserve"> cause commune </w:t>
      </w:r>
      <w:r>
        <w:t>ou</w:t>
      </w:r>
      <w:r w:rsidRPr="006A376B">
        <w:t xml:space="preserve"> entre en conflit. En l’occur</w:t>
      </w:r>
      <w:r>
        <w:t>r</w:t>
      </w:r>
      <w:r w:rsidRPr="006A376B">
        <w:t>enc</w:t>
      </w:r>
      <w:r>
        <w:t>e, le lecteur peut comprendre ce qui est</w:t>
      </w:r>
      <w:r w:rsidRPr="006A376B">
        <w:t xml:space="preserve"> dit comme étant le produit d’un mouvement intellectuel plus </w:t>
      </w:r>
      <w:r>
        <w:t>vaste</w:t>
      </w:r>
      <w:r w:rsidRPr="006A376B">
        <w:t xml:space="preserve"> et attribuer certains contenus tantôt à certains acteur</w:t>
      </w:r>
      <w:r>
        <w:t>s du champ et tantôt à d’autres</w:t>
      </w:r>
      <w:r w:rsidRPr="00C80D9D">
        <w:t xml:space="preserve">. </w:t>
      </w:r>
      <w:r w:rsidRPr="006A376B">
        <w:t>Quelle que soit la tendance théorique que représentent les figures invoquées dans le texte (Derrida, Husserl...), il faut rappeler l’effort de contextualisation requ</w:t>
      </w:r>
      <w:r>
        <w:t xml:space="preserve">is du lecteur pour attribuer ce qui est </w:t>
      </w:r>
      <w:r w:rsidRPr="006A376B">
        <w:t>dit à des positions, des</w:t>
      </w:r>
      <w:r>
        <w:t xml:space="preserve"> mouvements ou des camps précis</w:t>
      </w:r>
      <w:r w:rsidRPr="006A376B">
        <w:t xml:space="preserve">. </w:t>
      </w:r>
      <w:r>
        <w:t>L</w:t>
      </w:r>
      <w:r w:rsidRPr="006A376B">
        <w:t>es p</w:t>
      </w:r>
      <w:r>
        <w:t>ositionnements théoriques sont le produit fragile</w:t>
      </w:r>
      <w:r w:rsidRPr="006A376B">
        <w:t xml:space="preserve"> des efforts interprétatifs du lecteur</w:t>
      </w:r>
      <w:r>
        <w:t>,</w:t>
      </w:r>
      <w:r w:rsidRPr="006A376B">
        <w:t xml:space="preserve"> et donc hautement sujets à révision</w:t>
      </w:r>
      <w:r>
        <w:t>.</w:t>
      </w:r>
      <w:r w:rsidRPr="006A376B">
        <w:t xml:space="preserve"> </w:t>
      </w:r>
    </w:p>
    <w:p w14:paraId="359FB0D5" w14:textId="77777777" w:rsidR="0055302E" w:rsidRDefault="0055302E" w:rsidP="00D75801">
      <w:pPr>
        <w:ind w:firstLine="567"/>
        <w:jc w:val="both"/>
      </w:pPr>
      <w:r w:rsidRPr="006A376B">
        <w:t>Nous arrivons maintenant à l</w:t>
      </w:r>
      <w:r>
        <w:t>’</w:t>
      </w:r>
      <w:r w:rsidRPr="006A376B">
        <w:t>exemple de texte choisi</w:t>
      </w:r>
      <w:r>
        <w:t>,</w:t>
      </w:r>
      <w:r w:rsidRPr="006A376B">
        <w:t xml:space="preserve"> tiré d</w:t>
      </w:r>
      <w:r>
        <w:t>’</w:t>
      </w:r>
      <w:r w:rsidRPr="006A376B">
        <w:t xml:space="preserve">un discours qui se </w:t>
      </w:r>
      <w:r>
        <w:t>caractérise</w:t>
      </w:r>
      <w:r w:rsidRPr="006A376B">
        <w:t xml:space="preserve"> </w:t>
      </w:r>
      <w:r>
        <w:t>généralement par deux règles fondamentales. L</w:t>
      </w:r>
      <w:r w:rsidRPr="006A376B">
        <w:t xml:space="preserve">a première </w:t>
      </w:r>
      <w:r>
        <w:t xml:space="preserve">instruction </w:t>
      </w:r>
      <w:r w:rsidRPr="006A376B">
        <w:t xml:space="preserve">est </w:t>
      </w:r>
      <w:r>
        <w:t>pour ainsi dire la suivante </w:t>
      </w:r>
      <w:r w:rsidRPr="006A376B">
        <w:t>: cite uniquement des autorités canoniques</w:t>
      </w:r>
      <w:r>
        <w:t> ; la seconde : ne remets jamais en question c</w:t>
      </w:r>
      <w:r w:rsidRPr="006A376B">
        <w:t xml:space="preserve">es autorités. Lorsque le philosophe </w:t>
      </w:r>
      <w:r>
        <w:t>suit ces</w:t>
      </w:r>
      <w:r w:rsidRPr="006A376B">
        <w:t xml:space="preserve"> modèles </w:t>
      </w:r>
      <w:r>
        <w:t xml:space="preserve">traditionnellement en </w:t>
      </w:r>
      <w:r>
        <w:lastRenderedPageBreak/>
        <w:t>usage à l’université – ce qu’il doit faire, s’</w:t>
      </w:r>
      <w:r w:rsidRPr="006A376B">
        <w:t>il veut être philosophe</w:t>
      </w:r>
      <w:r>
        <w:t xml:space="preserve"> </w:t>
      </w:r>
      <w:r w:rsidRPr="006A376B">
        <w:t>– il se trouve devant un véritable dilemme</w:t>
      </w:r>
      <w:r>
        <w:t> </w:t>
      </w:r>
      <w:r w:rsidRPr="006A376B">
        <w:t>: comment peut-il lui-même devenir philosophe et</w:t>
      </w:r>
      <w:r>
        <w:t>,</w:t>
      </w:r>
      <w:r w:rsidRPr="006A376B">
        <w:t xml:space="preserve"> avec sa philosophie</w:t>
      </w:r>
      <w:r>
        <w:t>,</w:t>
      </w:r>
      <w:r w:rsidRPr="006A376B">
        <w:t xml:space="preserve"> se distinguer des autres philosophies</w:t>
      </w:r>
      <w:r>
        <w:t> </w:t>
      </w:r>
      <w:r w:rsidRPr="006A376B">
        <w:t xml:space="preserve">? Nous verrons que Derrida réussit précisément cette prouesse, et ce sans violer les règles du jeu philosophique. </w:t>
      </w:r>
    </w:p>
    <w:p w14:paraId="4A4FAAE1" w14:textId="77777777" w:rsidR="0055302E" w:rsidRPr="006A376B" w:rsidRDefault="0055302E" w:rsidP="00D75801">
      <w:pPr>
        <w:spacing w:before="120" w:after="120"/>
        <w:ind w:left="709"/>
        <w:jc w:val="both"/>
      </w:pPr>
      <w:r w:rsidRPr="006A376B">
        <w:t>1) La présence à soi du vécu doit se produire dans le présent comme maintenant. (2</w:t>
      </w:r>
      <w:r w:rsidRPr="00720BE8">
        <w:t>) Et</w:t>
      </w:r>
      <w:r w:rsidRPr="006A376B">
        <w:t xml:space="preserve"> c’est bien ce que dit Husserl : (3) si les « actes psychiques » ne s’annoncent pas eux-mêmes par l’intermédiaire d’une « </w:t>
      </w:r>
      <w:proofErr w:type="spellStart"/>
      <w:r w:rsidRPr="006A376B">
        <w:rPr>
          <w:i/>
        </w:rPr>
        <w:t>Kungabe</w:t>
      </w:r>
      <w:proofErr w:type="spellEnd"/>
      <w:r w:rsidRPr="006A376B">
        <w:t> » [sic], s’ils n’ont pas à être informés sur eux-mêmes par l’intermédiaire d’indices, c’est qu’ils sont « vécus par nous dans le même instant » (</w:t>
      </w:r>
      <w:proofErr w:type="spellStart"/>
      <w:r w:rsidRPr="006A376B">
        <w:rPr>
          <w:i/>
        </w:rPr>
        <w:t>im</w:t>
      </w:r>
      <w:proofErr w:type="spellEnd"/>
      <w:r w:rsidRPr="006A376B">
        <w:rPr>
          <w:i/>
        </w:rPr>
        <w:t xml:space="preserve"> </w:t>
      </w:r>
      <w:proofErr w:type="spellStart"/>
      <w:r w:rsidRPr="006A376B">
        <w:rPr>
          <w:i/>
        </w:rPr>
        <w:t>selben</w:t>
      </w:r>
      <w:proofErr w:type="spellEnd"/>
      <w:r w:rsidRPr="006A376B">
        <w:rPr>
          <w:i/>
        </w:rPr>
        <w:t xml:space="preserve"> </w:t>
      </w:r>
      <w:proofErr w:type="spellStart"/>
      <w:r w:rsidRPr="006A376B">
        <w:rPr>
          <w:i/>
        </w:rPr>
        <w:t>Augenblick</w:t>
      </w:r>
      <w:proofErr w:type="spellEnd"/>
      <w:r w:rsidRPr="006A376B">
        <w:t xml:space="preserve">). </w:t>
      </w:r>
      <w:r w:rsidRPr="00E42A9D">
        <w:fldChar w:fldCharType="begin"/>
      </w:r>
      <w:r w:rsidRPr="00E42A9D">
        <w:instrText xml:space="preserve"> ADDIN EN.CITE &lt;EndNote&gt;&lt;Cite ExcludeAuth="1"&gt;&lt;Author&gt;Derrida&lt;/Author&gt;&lt;Year&gt;1967&lt;/Year&gt;&lt;RecNum&gt;1180&lt;/RecNum&gt;&lt;Pages&gt;66&lt;/Pages&gt;&lt;DisplayText&gt;(1967c: 66)&lt;/DisplayText&gt;&lt;record&gt;&lt;rec-number&gt;1180&lt;/rec-number&gt;&lt;foreign-keys&gt;&lt;key app="EN" db-id="xex2xftfwapr9fevte1xdv5nadff9da5rfvr" timestamp="0"&gt;1180&lt;/key&gt;&lt;key app="ENWeb" db-id="TQQOLwrtqggAACTbTtM"&gt;1080&lt;/key&gt;&lt;/foreign-keys&gt;&lt;ref-type name="Book"&gt;6&lt;/ref-type&gt;&lt;contributors&gt;&lt;authors&gt;&lt;author&gt;Jacques Derrida&lt;/author&gt;&lt;/authors&gt;&lt;/contributors&gt;&lt;titles&gt;&lt;title&gt;La voix et le phénomène&lt;/title&gt;&lt;alt-title&gt;VeP&lt;/alt-title&gt;&lt;short-title&gt;Voix [wie Anm. 31]&lt;/short-title&gt;&lt;/titles&gt;&lt;dates&gt;&lt;year&gt;1967&lt;/year&gt;&lt;/dates&gt;&lt;pub-location&gt;Paris&lt;/pub-location&gt;&lt;publisher&gt;Quadrige/PUF&lt;/publisher&gt;&lt;urls&gt;&lt;/urls&gt;&lt;custom1&gt;&lt;style face="italic" font="default" size="100%"&gt;Speech and Phenomena, and other essays on Husserl’s theory of signs&lt;/style&gt;&lt;style face="normal" font="default" size="100%"&gt;. Evanston: Northwestern University Press, 1973&lt;/style&gt;&lt;/custom1&gt;&lt;custom3&gt;&lt;style face="italic" font="default" size="100%"&gt;Die Stimme und das Phänomen. Ein Essay über das Problem des Zeichens in der Philosophie Husserls&lt;/style&gt;&lt;style face="normal" font="default" size="100%"&gt;. Frankfurt am Main: Suhrkamp, 2003&lt;/style&gt;&lt;/custom3&gt;&lt;/record&gt;&lt;/Cite&gt;&lt;/EndNote&gt;</w:instrText>
      </w:r>
      <w:r w:rsidRPr="00E42A9D">
        <w:fldChar w:fldCharType="separate"/>
      </w:r>
      <w:r w:rsidRPr="00D53B51">
        <w:t>(1967c</w:t>
      </w:r>
      <w:r>
        <w:t> </w:t>
      </w:r>
      <w:r w:rsidRPr="00D53B51">
        <w:t>: 66)</w:t>
      </w:r>
      <w:r w:rsidRPr="00E42A9D">
        <w:fldChar w:fldCharType="end"/>
      </w:r>
    </w:p>
    <w:p w14:paraId="6D5B48DC" w14:textId="77777777" w:rsidR="0055302E" w:rsidRPr="006A376B" w:rsidRDefault="0055302E" w:rsidP="00D75801">
      <w:pPr>
        <w:jc w:val="both"/>
      </w:pPr>
      <w:r>
        <w:tab/>
      </w:r>
      <w:r w:rsidRPr="006A376B">
        <w:t xml:space="preserve">Les spécialistes de Derrida reconnaîtront </w:t>
      </w:r>
      <w:r>
        <w:t>aisément</w:t>
      </w:r>
      <w:r w:rsidRPr="006A376B">
        <w:t xml:space="preserve"> dans cet exemple une figure typique de la déconstruction</w:t>
      </w:r>
      <w:r>
        <w:t> </w:t>
      </w:r>
      <w:r w:rsidRPr="006A376B">
        <w:t>: la révélation d</w:t>
      </w:r>
      <w:r>
        <w:t>’</w:t>
      </w:r>
      <w:r w:rsidRPr="006A376B">
        <w:t>une aporie dans le texte philo</w:t>
      </w:r>
      <w:r>
        <w:t>sophique reposant sur le fait</w:t>
      </w:r>
      <w:r w:rsidRPr="006A376B">
        <w:t xml:space="preserve"> que le philosophe, ici Husserl, entre en contradiction avec quelque chose</w:t>
      </w:r>
      <w:r>
        <w:t xml:space="preserve"> qu’il ne veut pas dire, mais qu’il doit dire quand même, en l’</w:t>
      </w:r>
      <w:r w:rsidRPr="006A376B">
        <w:t>occurrence qu</w:t>
      </w:r>
      <w:r>
        <w:t>’il y aurait un</w:t>
      </w:r>
      <w:r w:rsidRPr="006A376B">
        <w:t xml:space="preserve"> sen</w:t>
      </w:r>
      <w:r>
        <w:t>s</w:t>
      </w:r>
      <w:r w:rsidRPr="006A376B">
        <w:t xml:space="preserve"> des «</w:t>
      </w:r>
      <w:r>
        <w:t> </w:t>
      </w:r>
      <w:r w:rsidRPr="006A376B">
        <w:t>actes psychiques</w:t>
      </w:r>
      <w:r>
        <w:t> </w:t>
      </w:r>
      <w:r w:rsidRPr="006A376B">
        <w:t xml:space="preserve">» </w:t>
      </w:r>
      <w:r>
        <w:t>qui n’est pas tributaire de leurs indices</w:t>
      </w:r>
      <w:r w:rsidRPr="00E15DF1">
        <w:t xml:space="preserve">. </w:t>
      </w:r>
      <w:r w:rsidRPr="006A376B">
        <w:t xml:space="preserve">Nous ne </w:t>
      </w:r>
      <w:r>
        <w:t>rentrerons pas ici dans les subtilités</w:t>
      </w:r>
      <w:r w:rsidRPr="006A376B">
        <w:t xml:space="preserve"> </w:t>
      </w:r>
      <w:r>
        <w:t>de l’</w:t>
      </w:r>
      <w:r w:rsidRPr="006A376B">
        <w:t xml:space="preserve">exégèse </w:t>
      </w:r>
      <w:r>
        <w:t>derridienne</w:t>
      </w:r>
      <w:r w:rsidRPr="006A376B">
        <w:t xml:space="preserve">, ce </w:t>
      </w:r>
      <w:r>
        <w:t>qui ferait l’objet d’un article à part entière</w:t>
      </w:r>
      <w:r w:rsidRPr="006A376B">
        <w:t xml:space="preserve">. Dans </w:t>
      </w:r>
      <w:r>
        <w:t>la perspective de l’</w:t>
      </w:r>
      <w:r w:rsidRPr="006A376B">
        <w:t>ana</w:t>
      </w:r>
      <w:r>
        <w:t>lyse des énoncés, nous observons</w:t>
      </w:r>
      <w:r w:rsidRPr="006A376B">
        <w:t xml:space="preserve"> </w:t>
      </w:r>
      <w:r>
        <w:t>un certain nombre de</w:t>
      </w:r>
      <w:r w:rsidRPr="006A376B">
        <w:t xml:space="preserve"> termes </w:t>
      </w:r>
      <w:r>
        <w:t>du</w:t>
      </w:r>
      <w:r w:rsidRPr="006A376B">
        <w:t xml:space="preserve"> </w:t>
      </w:r>
      <w:r>
        <w:t xml:space="preserve">vocabulaire </w:t>
      </w:r>
      <w:r w:rsidRPr="006A376B">
        <w:t xml:space="preserve">caractéristique de Derrida </w:t>
      </w:r>
      <w:r>
        <w:t xml:space="preserve">qui </w:t>
      </w:r>
      <w:r w:rsidRPr="006A376B">
        <w:t>son</w:t>
      </w:r>
      <w:r>
        <w:t>t</w:t>
      </w:r>
      <w:r w:rsidRPr="006A376B">
        <w:t xml:space="preserve"> porteur</w:t>
      </w:r>
      <w:r>
        <w:t>s</w:t>
      </w:r>
      <w:r w:rsidRPr="006A376B">
        <w:t xml:space="preserve"> d’u</w:t>
      </w:r>
      <w:r>
        <w:t>n certain savoir conceptuel, savoir que nous désignerons</w:t>
      </w:r>
      <w:r w:rsidRPr="00C906FF">
        <w:t xml:space="preserve"> </w:t>
      </w:r>
      <w:r>
        <w:t>simplement</w:t>
      </w:r>
      <w:r w:rsidRPr="006A376B">
        <w:t xml:space="preserve"> dans la suite par </w:t>
      </w:r>
      <w:r w:rsidRPr="00DD1E81">
        <w:rPr>
          <w:i/>
          <w:lang w:eastAsia="en-US"/>
        </w:rPr>
        <w:t>p, q…</w:t>
      </w:r>
      <w:r w:rsidRPr="006A376B">
        <w:t xml:space="preserve"> car nous ne nous y intéresserons pas en détail. Ce qui nous intéresse, c’est la question de savoir comment le texte reflète le contexte communicationnel dont il provient. Le problème est que le contexte de formation originel est irrémédiablement perdu pour le lecteur. </w:t>
      </w:r>
      <w:r>
        <w:t>Celui-ci</w:t>
      </w:r>
      <w:r w:rsidRPr="006A376B">
        <w:t xml:space="preserve"> sait une seule chose, c’est que </w:t>
      </w:r>
      <w:r>
        <w:t>quelqu’un a formulé l’énoncé et</w:t>
      </w:r>
      <w:r w:rsidRPr="006A376B">
        <w:t xml:space="preserve"> que tout énoncé dispose d’un locuteur. La première étape consistera donc pour lui à déterminer le locuteur, à répondre à la question de savoir qui, en définitive, dit ce qui est dit. Le locuteur est l’instance </w:t>
      </w:r>
      <w:r w:rsidRPr="006D257A">
        <w:t>qui</w:t>
      </w:r>
      <w:r>
        <w:t xml:space="preserve"> a la responsabilité</w:t>
      </w:r>
      <w:r w:rsidRPr="006A376B">
        <w:t xml:space="preserve"> de l’énoncé. Le locuteur n’est pas </w:t>
      </w:r>
      <w:r>
        <w:t>« </w:t>
      </w:r>
      <w:r w:rsidRPr="006A376B">
        <w:t>l’auteur</w:t>
      </w:r>
      <w:r>
        <w:t> »</w:t>
      </w:r>
      <w:r w:rsidRPr="006A376B">
        <w:t xml:space="preserve"> individuel, </w:t>
      </w:r>
      <w:r>
        <w:t>la personne qui parle du dehors ;</w:t>
      </w:r>
      <w:r w:rsidRPr="006A376B">
        <w:t xml:space="preserve"> il fait partie de </w:t>
      </w:r>
      <w:r>
        <w:t xml:space="preserve">la structure interne </w:t>
      </w:r>
      <w:r w:rsidRPr="006A376B">
        <w:t>de l’énoncé. Nous verrons bientôt que le locuteur n’est jamais seul dans l’énoncé</w:t>
      </w:r>
      <w:r>
        <w:t>, qui</w:t>
      </w:r>
      <w:r w:rsidRPr="006A376B">
        <w:t xml:space="preserve"> est peuplé par une série d’énonciateurs, vis-à-vis desquels le locuteur adopte une position </w:t>
      </w:r>
      <w:r>
        <w:t>déterminée</w:t>
      </w:r>
      <w:r w:rsidRPr="006A376B">
        <w:t>. L’énoncé constitue la scène d’un spectacle dans lequel différents énonciateurs</w:t>
      </w:r>
      <w:r>
        <w:t xml:space="preserve"> </w:t>
      </w:r>
      <w:r w:rsidRPr="006A376B">
        <w:t xml:space="preserve">interviennent. Le locuteur remplit pour ainsi dire la fonction de metteur en scène. C’est lui qui tire les fils et qui fait prononcer à ses figures les différents contenus conceptuels </w:t>
      </w:r>
      <w:r w:rsidRPr="00DD1E81">
        <w:rPr>
          <w:i/>
          <w:lang w:eastAsia="en-US"/>
        </w:rPr>
        <w:t>p, q…</w:t>
      </w:r>
      <w:r>
        <w:t xml:space="preserve"> </w:t>
      </w:r>
      <w:r w:rsidRPr="006A376B">
        <w:t>de l’énoncé.</w:t>
      </w:r>
    </w:p>
    <w:p w14:paraId="620718EE" w14:textId="77777777" w:rsidR="0055302E" w:rsidRDefault="0055302E" w:rsidP="00D75801">
      <w:pPr>
        <w:ind w:firstLine="567"/>
        <w:jc w:val="both"/>
      </w:pPr>
      <w:r w:rsidRPr="006A376B">
        <w:t xml:space="preserve">Qui est le locuteur dont les figures </w:t>
      </w:r>
      <w:proofErr w:type="gramStart"/>
      <w:r w:rsidRPr="006A376B">
        <w:t>sont</w:t>
      </w:r>
      <w:proofErr w:type="gramEnd"/>
      <w:r w:rsidRPr="006A376B">
        <w:t xml:space="preserve"> les acteurs qui « jouent » l’énoncé ? L’énoncé ne peut pas répondre lui-même à cette question. Il a besoin pour cela du lecteur, qui cherche dans son contexte des candidats possibles. Ainsi, le lecteur de l’énoncé (1) arrivera à « Derrida</w:t>
      </w:r>
      <w:r>
        <w:t> </w:t>
      </w:r>
      <w:r w:rsidRPr="006A376B">
        <w:t xml:space="preserve">», qu’il peut identifier d’un coup d’œil rapide comme auteur sur la couverture du livre. La chose se complique lorsque nous passons à l’énoncé suivant, </w:t>
      </w:r>
      <w:r>
        <w:t>qui jette un</w:t>
      </w:r>
      <w:r w:rsidRPr="006A376B">
        <w:t xml:space="preserve"> nouvel éclairage</w:t>
      </w:r>
      <w:r>
        <w:t xml:space="preserve"> sur ce qui a été dit précédemment :</w:t>
      </w:r>
      <w:r w:rsidRPr="006A376B">
        <w:t xml:space="preserve"> «</w:t>
      </w:r>
      <w:r>
        <w:t> </w:t>
      </w:r>
      <w:r w:rsidRPr="006A376B">
        <w:t xml:space="preserve">Et c’est bien ce que dit Husserl ». </w:t>
      </w:r>
      <w:r w:rsidRPr="00DD1E81">
        <w:rPr>
          <w:i/>
        </w:rPr>
        <w:t>A posteriori</w:t>
      </w:r>
      <w:r w:rsidRPr="006A376B">
        <w:t xml:space="preserve">, le lecteur est </w:t>
      </w:r>
      <w:r>
        <w:t xml:space="preserve">ainsi </w:t>
      </w:r>
      <w:r w:rsidRPr="006A376B">
        <w:t xml:space="preserve">confronté à la question de savoir si (1) n’est pas en réalité une citation, signée </w:t>
      </w:r>
      <w:r>
        <w:t>précisément</w:t>
      </w:r>
      <w:r w:rsidRPr="006A376B">
        <w:t xml:space="preserve"> d’un certain « Husserl ». Que « Derrida » soit le locuteur de (1) se révèle ainsi être une pure hypothèse</w:t>
      </w:r>
      <w:r>
        <w:t>,</w:t>
      </w:r>
      <w:r w:rsidRPr="006A376B">
        <w:t xml:space="preserve"> qui se trouve maintenant remplacée par l’hypothèse selon laquelle dans (1)</w:t>
      </w:r>
      <w:r>
        <w:t>,</w:t>
      </w:r>
      <w:r w:rsidRPr="006A376B">
        <w:t xml:space="preserve"> Derrida dit que Husserl dit le contenu de l’énoncé </w:t>
      </w:r>
      <w:r w:rsidRPr="00DD1E81">
        <w:rPr>
          <w:i/>
        </w:rPr>
        <w:t>p</w:t>
      </w:r>
      <w:r w:rsidRPr="006A376B">
        <w:t>. Selon cette deuxième hypothèse, ce qui est dit n’est en définitive pas attribué à Derrida mais à Husserl, de sorte que dans la représentation formalisée, ce n’est plus Derrida mais Husserl qui occupe la place du L</w:t>
      </w:r>
      <w:r w:rsidRPr="00135050">
        <w:rPr>
          <w:vertAlign w:val="subscript"/>
        </w:rPr>
        <w:t>0</w:t>
      </w:r>
      <w:r>
        <w:t xml:space="preserve"> (l’« auteur » de l’énoncé) t</w:t>
      </w:r>
      <w:r w:rsidRPr="006A376B">
        <w:t>andis que Derrida devient</w:t>
      </w:r>
      <w:r>
        <w:t xml:space="preserve"> le</w:t>
      </w:r>
      <w:r w:rsidRPr="006A376B">
        <w:t xml:space="preserve"> L</w:t>
      </w:r>
      <w:r w:rsidRPr="006A376B">
        <w:rPr>
          <w:vertAlign w:val="subscript"/>
        </w:rPr>
        <w:t>1</w:t>
      </w:r>
      <w:r w:rsidRPr="006A376B">
        <w:t xml:space="preserve">. Le lecteur a-t-il alors terminé son travail ? Nullement. Le processus de formation d’hypothèses interprétatives peut encore continuer, car si le lecteur reconnaît l’énoncé en tant qu’énoncé, il se retrouve face à une série de places vides, qu’il doit en quelque sorte remplir </w:t>
      </w:r>
      <w:r>
        <w:t>en usant du</w:t>
      </w:r>
      <w:r w:rsidRPr="006A376B">
        <w:t xml:space="preserve"> savoir à sa disposition. Si d’autres dissonances cognitives apparaissent, si par exemple la précision de la traduction est mise en doute, le lecteur peut poser une troisième hypothèse, selon laquelle le traducteur dit </w:t>
      </w:r>
      <w:r w:rsidRPr="006A376B">
        <w:lastRenderedPageBreak/>
        <w:t xml:space="preserve">que Derrida dit que Husserl dit </w:t>
      </w:r>
      <w:r w:rsidRPr="00DD1E81">
        <w:rPr>
          <w:i/>
        </w:rPr>
        <w:t>p</w:t>
      </w:r>
      <w:r w:rsidRPr="006A376B">
        <w:t xml:space="preserve">. Ou bien vous, très cher </w:t>
      </w:r>
      <w:r>
        <w:t>lecteur</w:t>
      </w:r>
      <w:r w:rsidRPr="006A376B">
        <w:t>, notez que l’énoncé est «</w:t>
      </w:r>
      <w:r>
        <w:t> </w:t>
      </w:r>
      <w:r w:rsidRPr="006A376B">
        <w:t>en réalité</w:t>
      </w:r>
      <w:r>
        <w:t> </w:t>
      </w:r>
      <w:r w:rsidRPr="006A376B">
        <w:t xml:space="preserve">» prononcé </w:t>
      </w:r>
      <w:r>
        <w:t xml:space="preserve">ici </w:t>
      </w:r>
      <w:r w:rsidRPr="006A376B">
        <w:t>par un certain Johannes Angerm</w:t>
      </w:r>
      <w:r>
        <w:t>u</w:t>
      </w:r>
      <w:r w:rsidRPr="006A376B">
        <w:t xml:space="preserve">ller, lequel dit que, selon la traduction modifiée, </w:t>
      </w:r>
      <w:r>
        <w:t>« </w:t>
      </w:r>
      <w:r w:rsidRPr="006A376B">
        <w:t>Derrida dit que</w:t>
      </w:r>
      <w:r>
        <w:t>… »</w:t>
      </w:r>
      <w:r w:rsidRPr="006A376B">
        <w:t>. En théorie, rien n’empêche que nous poursuivions à l’infini la formation d’hypothèses interprétatives</w:t>
      </w:r>
      <w:r>
        <w:t>,</w:t>
      </w:r>
      <w:r w:rsidRPr="006A376B">
        <w:t xml:space="preserve"> et la seule raison </w:t>
      </w:r>
      <w:r>
        <w:t>pouvant motiver l’arrêt du processus est</w:t>
      </w:r>
      <w:r w:rsidRPr="006A376B">
        <w:t xml:space="preserve"> pragmatique</w:t>
      </w:r>
      <w:r>
        <w:t> </w:t>
      </w:r>
      <w:r w:rsidRPr="006A376B">
        <w:t xml:space="preserve">: notre temps et notre énergie sont limités. Nous </w:t>
      </w:r>
      <w:proofErr w:type="spellStart"/>
      <w:r w:rsidRPr="006A376B">
        <w:t>nous</w:t>
      </w:r>
      <w:proofErr w:type="spellEnd"/>
      <w:r w:rsidRPr="006A376B">
        <w:t xml:space="preserve"> contenterons donc de la dernière hypothèse </w:t>
      </w:r>
      <w:r>
        <w:t>qui nous semble résoudre</w:t>
      </w:r>
      <w:r w:rsidRPr="006A376B">
        <w:t xml:space="preserve"> les problèmes interprétatifs du texte, l’hypothèse qui ne contredit pas ce que nous savons déjà sur le discours dans lequel nous essayons justement d’entrer. </w:t>
      </w:r>
    </w:p>
    <w:p w14:paraId="455449C9" w14:textId="77777777" w:rsidR="0055302E" w:rsidRPr="006A376B" w:rsidRDefault="0055302E" w:rsidP="00D75801">
      <w:pPr>
        <w:ind w:firstLine="284"/>
        <w:jc w:val="both"/>
      </w:pPr>
    </w:p>
    <w:p w14:paraId="4D9F905E" w14:textId="77777777" w:rsidR="0055302E" w:rsidRPr="006A376B" w:rsidRDefault="0055302E" w:rsidP="00D75801">
      <w:pPr>
        <w:jc w:val="both"/>
      </w:pPr>
      <w:r w:rsidRPr="006A376B">
        <w:t>Première</w:t>
      </w:r>
      <w:r w:rsidRPr="006A376B">
        <w:rPr>
          <w:lang w:val="de-CH"/>
        </w:rPr>
        <w:t xml:space="preserve"> </w:t>
      </w:r>
      <w:proofErr w:type="spellStart"/>
      <w:r w:rsidRPr="006A376B">
        <w:rPr>
          <w:lang w:val="de-CH"/>
        </w:rPr>
        <w:t>hypothèse</w:t>
      </w:r>
      <w:proofErr w:type="spellEnd"/>
      <w:r>
        <w:rPr>
          <w:lang w:val="de-CH"/>
        </w:rPr>
        <w:t> </w:t>
      </w:r>
      <w:r w:rsidRPr="006A376B">
        <w:rPr>
          <w:lang w:val="de-CH"/>
        </w:rPr>
        <w:t>: L</w:t>
      </w:r>
      <w:r w:rsidRPr="006A376B">
        <w:rPr>
          <w:vertAlign w:val="subscript"/>
          <w:lang w:val="de-CH"/>
        </w:rPr>
        <w:t>0</w:t>
      </w:r>
      <w:r w:rsidRPr="006A376B">
        <w:rPr>
          <w:lang w:val="de-CH"/>
        </w:rPr>
        <w:t xml:space="preserve"> (</w:t>
      </w:r>
      <w:r w:rsidRPr="006A376B">
        <w:t>« </w:t>
      </w:r>
      <w:r w:rsidRPr="006A376B">
        <w:rPr>
          <w:lang w:val="de-CH"/>
        </w:rPr>
        <w:t>p</w:t>
      </w:r>
      <w:r w:rsidRPr="006A376B">
        <w:rPr>
          <w:vertAlign w:val="subscript"/>
          <w:lang w:val="de-CH"/>
        </w:rPr>
        <w:t>1</w:t>
      </w:r>
      <w:r w:rsidRPr="006A376B">
        <w:rPr>
          <w:vertAlign w:val="subscript"/>
        </w:rPr>
        <w:t> </w:t>
      </w:r>
      <w:r w:rsidRPr="006A376B">
        <w:t>»</w:t>
      </w:r>
      <w:r w:rsidRPr="006A376B">
        <w:rPr>
          <w:lang w:val="de-CH"/>
        </w:rPr>
        <w:t xml:space="preserve">), </w:t>
      </w:r>
      <w:proofErr w:type="spellStart"/>
      <w:r w:rsidRPr="006A376B">
        <w:rPr>
          <w:lang w:val="de-CH"/>
        </w:rPr>
        <w:t>où</w:t>
      </w:r>
      <w:proofErr w:type="spellEnd"/>
      <w:r w:rsidRPr="006A376B">
        <w:rPr>
          <w:lang w:val="de-CH"/>
        </w:rPr>
        <w:t xml:space="preserve"> L</w:t>
      </w:r>
      <w:r w:rsidRPr="006A376B">
        <w:rPr>
          <w:vertAlign w:val="subscript"/>
          <w:lang w:val="de-CH"/>
        </w:rPr>
        <w:t>0</w:t>
      </w:r>
      <w:r w:rsidRPr="006A376B">
        <w:rPr>
          <w:lang w:val="de-CH"/>
        </w:rPr>
        <w:t xml:space="preserve"> = </w:t>
      </w:r>
      <w:r w:rsidRPr="006A376B">
        <w:t>« </w:t>
      </w:r>
      <w:r w:rsidRPr="006A376B">
        <w:rPr>
          <w:lang w:val="de-CH"/>
        </w:rPr>
        <w:t>Derrida</w:t>
      </w:r>
      <w:r w:rsidRPr="006A376B">
        <w:t xml:space="preserve"> » </w:t>
      </w:r>
    </w:p>
    <w:p w14:paraId="7D7232A6" w14:textId="77777777" w:rsidR="0055302E" w:rsidRPr="006A376B" w:rsidRDefault="0055302E" w:rsidP="00D75801">
      <w:pPr>
        <w:jc w:val="both"/>
      </w:pPr>
      <w:proofErr w:type="spellStart"/>
      <w:r w:rsidRPr="006A376B">
        <w:rPr>
          <w:lang w:val="de-CH"/>
        </w:rPr>
        <w:t>Deuxième</w:t>
      </w:r>
      <w:proofErr w:type="spellEnd"/>
      <w:r w:rsidRPr="006A376B">
        <w:rPr>
          <w:lang w:val="de-CH"/>
        </w:rPr>
        <w:t xml:space="preserve"> </w:t>
      </w:r>
      <w:proofErr w:type="spellStart"/>
      <w:r w:rsidRPr="006A376B">
        <w:rPr>
          <w:lang w:val="de-CH"/>
        </w:rPr>
        <w:t>hypothèse</w:t>
      </w:r>
      <w:proofErr w:type="spellEnd"/>
      <w:r>
        <w:rPr>
          <w:lang w:val="de-CH"/>
        </w:rPr>
        <w:t> </w:t>
      </w:r>
      <w:r w:rsidRPr="006A376B">
        <w:rPr>
          <w:lang w:val="de-CH"/>
        </w:rPr>
        <w:t>: L</w:t>
      </w:r>
      <w:r w:rsidRPr="006A376B">
        <w:rPr>
          <w:vertAlign w:val="subscript"/>
          <w:lang w:val="de-CH"/>
        </w:rPr>
        <w:t>1</w:t>
      </w:r>
      <w:r w:rsidRPr="006A376B">
        <w:rPr>
          <w:lang w:val="de-CH"/>
        </w:rPr>
        <w:t xml:space="preserve"> (</w:t>
      </w:r>
      <w:r w:rsidRPr="006A376B">
        <w:t>« </w:t>
      </w:r>
      <w:r w:rsidRPr="006A376B">
        <w:rPr>
          <w:lang w:val="de-CH"/>
        </w:rPr>
        <w:t>L</w:t>
      </w:r>
      <w:r w:rsidRPr="006A376B">
        <w:rPr>
          <w:vertAlign w:val="subscript"/>
          <w:lang w:val="de-CH"/>
        </w:rPr>
        <w:t>0</w:t>
      </w:r>
      <w:r w:rsidRPr="006A376B">
        <w:rPr>
          <w:lang w:val="de-CH"/>
        </w:rPr>
        <w:t xml:space="preserve"> </w:t>
      </w:r>
      <w:proofErr w:type="spellStart"/>
      <w:r w:rsidRPr="006A376B">
        <w:rPr>
          <w:lang w:val="de-CH"/>
        </w:rPr>
        <w:t>dit</w:t>
      </w:r>
      <w:proofErr w:type="spellEnd"/>
      <w:r w:rsidRPr="006A376B">
        <w:rPr>
          <w:lang w:val="de-CH"/>
        </w:rPr>
        <w:t xml:space="preserve"> </w:t>
      </w:r>
      <w:proofErr w:type="spellStart"/>
      <w:r w:rsidRPr="006A376B">
        <w:rPr>
          <w:lang w:val="de-CH"/>
        </w:rPr>
        <w:t>que</w:t>
      </w:r>
      <w:proofErr w:type="spellEnd"/>
      <w:r w:rsidRPr="006A376B">
        <w:rPr>
          <w:lang w:val="de-CH"/>
        </w:rPr>
        <w:t xml:space="preserve"> p</w:t>
      </w:r>
      <w:r w:rsidRPr="006A376B">
        <w:rPr>
          <w:vertAlign w:val="subscript"/>
          <w:lang w:val="de-CH"/>
        </w:rPr>
        <w:t>1</w:t>
      </w:r>
      <w:r w:rsidRPr="00C906FF">
        <w:t xml:space="preserve"> </w:t>
      </w:r>
      <w:r w:rsidRPr="006A376B">
        <w:t>»</w:t>
      </w:r>
      <w:r w:rsidRPr="006A376B">
        <w:rPr>
          <w:lang w:val="de-CH"/>
        </w:rPr>
        <w:t xml:space="preserve">), </w:t>
      </w:r>
      <w:proofErr w:type="spellStart"/>
      <w:r w:rsidRPr="006A376B">
        <w:rPr>
          <w:lang w:val="de-CH"/>
        </w:rPr>
        <w:t>où</w:t>
      </w:r>
      <w:proofErr w:type="spellEnd"/>
      <w:r w:rsidRPr="006A376B">
        <w:rPr>
          <w:lang w:val="de-CH"/>
        </w:rPr>
        <w:t xml:space="preserve"> L</w:t>
      </w:r>
      <w:r w:rsidRPr="006A376B">
        <w:rPr>
          <w:vertAlign w:val="subscript"/>
          <w:lang w:val="de-CH"/>
        </w:rPr>
        <w:t>1</w:t>
      </w:r>
      <w:r w:rsidRPr="006A376B">
        <w:rPr>
          <w:lang w:val="de-CH"/>
        </w:rPr>
        <w:t xml:space="preserve"> = </w:t>
      </w:r>
      <w:r w:rsidRPr="006A376B">
        <w:t>« </w:t>
      </w:r>
      <w:r w:rsidRPr="006A376B">
        <w:rPr>
          <w:lang w:val="de-CH"/>
        </w:rPr>
        <w:t>Derrida</w:t>
      </w:r>
      <w:r w:rsidRPr="006A376B">
        <w:t> »</w:t>
      </w:r>
      <w:r w:rsidRPr="006A376B">
        <w:rPr>
          <w:lang w:val="de-CH"/>
        </w:rPr>
        <w:t>, L</w:t>
      </w:r>
      <w:r w:rsidRPr="006A376B">
        <w:rPr>
          <w:vertAlign w:val="subscript"/>
          <w:lang w:val="de-CH"/>
        </w:rPr>
        <w:t>0</w:t>
      </w:r>
      <w:r w:rsidRPr="006A376B">
        <w:rPr>
          <w:lang w:val="de-CH"/>
        </w:rPr>
        <w:t xml:space="preserve"> = </w:t>
      </w:r>
      <w:r w:rsidRPr="006A376B">
        <w:t>« </w:t>
      </w:r>
      <w:r>
        <w:rPr>
          <w:lang w:val="de-CH"/>
        </w:rPr>
        <w:t>Husserl</w:t>
      </w:r>
      <w:r w:rsidRPr="006A376B">
        <w:t> »</w:t>
      </w:r>
    </w:p>
    <w:p w14:paraId="210DF59B" w14:textId="77777777" w:rsidR="0055302E" w:rsidRPr="006A376B" w:rsidRDefault="0055302E" w:rsidP="00D75801">
      <w:pPr>
        <w:jc w:val="both"/>
      </w:pPr>
      <w:proofErr w:type="spellStart"/>
      <w:r w:rsidRPr="006A376B">
        <w:rPr>
          <w:lang w:val="de-CH"/>
        </w:rPr>
        <w:t>Troisième</w:t>
      </w:r>
      <w:proofErr w:type="spellEnd"/>
      <w:r w:rsidRPr="006A376B">
        <w:rPr>
          <w:lang w:val="de-CH"/>
        </w:rPr>
        <w:t xml:space="preserve"> </w:t>
      </w:r>
      <w:proofErr w:type="spellStart"/>
      <w:r w:rsidRPr="006A376B">
        <w:rPr>
          <w:lang w:val="de-CH"/>
        </w:rPr>
        <w:t>hypothèse</w:t>
      </w:r>
      <w:proofErr w:type="spellEnd"/>
      <w:r>
        <w:rPr>
          <w:lang w:val="de-CH"/>
        </w:rPr>
        <w:t> </w:t>
      </w:r>
      <w:r w:rsidRPr="006A376B">
        <w:rPr>
          <w:lang w:val="de-CH"/>
        </w:rPr>
        <w:t>: L</w:t>
      </w:r>
      <w:r w:rsidRPr="006A376B">
        <w:rPr>
          <w:vertAlign w:val="subscript"/>
          <w:lang w:val="de-CH"/>
        </w:rPr>
        <w:t>2</w:t>
      </w:r>
      <w:r w:rsidRPr="006A376B">
        <w:rPr>
          <w:lang w:val="de-CH"/>
        </w:rPr>
        <w:t xml:space="preserve"> (</w:t>
      </w:r>
      <w:r w:rsidRPr="006A376B">
        <w:t>«</w:t>
      </w:r>
      <w:r>
        <w:t xml:space="preserve"> </w:t>
      </w:r>
      <w:r w:rsidRPr="006A376B">
        <w:rPr>
          <w:lang w:val="de-CH"/>
        </w:rPr>
        <w:t>L</w:t>
      </w:r>
      <w:r w:rsidRPr="006A376B">
        <w:rPr>
          <w:vertAlign w:val="subscript"/>
          <w:lang w:val="de-CH"/>
        </w:rPr>
        <w:t>1</w:t>
      </w:r>
      <w:r w:rsidRPr="006A376B">
        <w:rPr>
          <w:lang w:val="de-CH"/>
        </w:rPr>
        <w:t xml:space="preserve"> </w:t>
      </w:r>
      <w:proofErr w:type="spellStart"/>
      <w:r w:rsidRPr="006A376B">
        <w:rPr>
          <w:lang w:val="de-CH"/>
        </w:rPr>
        <w:t>dit</w:t>
      </w:r>
      <w:proofErr w:type="spellEnd"/>
      <w:r w:rsidRPr="006A376B">
        <w:rPr>
          <w:lang w:val="de-CH"/>
        </w:rPr>
        <w:t xml:space="preserve"> </w:t>
      </w:r>
      <w:proofErr w:type="spellStart"/>
      <w:r w:rsidRPr="006A376B">
        <w:rPr>
          <w:lang w:val="de-CH"/>
        </w:rPr>
        <w:t>que</w:t>
      </w:r>
      <w:proofErr w:type="spellEnd"/>
      <w:r w:rsidRPr="006A376B">
        <w:rPr>
          <w:lang w:val="de-CH"/>
        </w:rPr>
        <w:t xml:space="preserve"> L</w:t>
      </w:r>
      <w:r w:rsidRPr="006A376B">
        <w:rPr>
          <w:vertAlign w:val="subscript"/>
          <w:lang w:val="de-CH"/>
        </w:rPr>
        <w:t>0</w:t>
      </w:r>
      <w:r>
        <w:rPr>
          <w:lang w:val="de-CH"/>
        </w:rPr>
        <w:t xml:space="preserve"> </w:t>
      </w:r>
      <w:proofErr w:type="spellStart"/>
      <w:r>
        <w:rPr>
          <w:lang w:val="de-CH"/>
        </w:rPr>
        <w:t>dit</w:t>
      </w:r>
      <w:proofErr w:type="spellEnd"/>
      <w:r>
        <w:rPr>
          <w:lang w:val="de-CH"/>
        </w:rPr>
        <w:t xml:space="preserve"> </w:t>
      </w:r>
      <w:proofErr w:type="spellStart"/>
      <w:r>
        <w:rPr>
          <w:lang w:val="de-CH"/>
        </w:rPr>
        <w:t>que</w:t>
      </w:r>
      <w:proofErr w:type="spellEnd"/>
      <w:r>
        <w:rPr>
          <w:lang w:val="de-CH"/>
        </w:rPr>
        <w:t xml:space="preserve"> p </w:t>
      </w:r>
      <w:r w:rsidRPr="006A376B">
        <w:t>»</w:t>
      </w:r>
      <w:r w:rsidRPr="006A376B">
        <w:rPr>
          <w:lang w:val="de-CH"/>
        </w:rPr>
        <w:t>),</w:t>
      </w:r>
      <w:proofErr w:type="spellStart"/>
      <w:r w:rsidRPr="006A376B">
        <w:rPr>
          <w:lang w:val="de-CH"/>
        </w:rPr>
        <w:t>où</w:t>
      </w:r>
      <w:proofErr w:type="spellEnd"/>
      <w:r w:rsidRPr="006A376B">
        <w:rPr>
          <w:lang w:val="de-CH"/>
        </w:rPr>
        <w:t xml:space="preserve"> L</w:t>
      </w:r>
      <w:r w:rsidRPr="006A376B">
        <w:rPr>
          <w:vertAlign w:val="subscript"/>
          <w:lang w:val="de-CH"/>
        </w:rPr>
        <w:t>2</w:t>
      </w:r>
      <w:r>
        <w:rPr>
          <w:lang w:val="de-CH"/>
        </w:rPr>
        <w:t xml:space="preserve"> = </w:t>
      </w:r>
      <w:r w:rsidRPr="006A376B">
        <w:t>«</w:t>
      </w:r>
      <w:r>
        <w:t xml:space="preserve"> </w:t>
      </w:r>
      <w:r>
        <w:rPr>
          <w:lang w:val="de-CH"/>
        </w:rPr>
        <w:t>J.A.</w:t>
      </w:r>
      <w:r w:rsidRPr="00C906FF">
        <w:t xml:space="preserve"> </w:t>
      </w:r>
      <w:r w:rsidRPr="006A376B">
        <w:t>»</w:t>
      </w:r>
      <w:r w:rsidRPr="006A376B">
        <w:rPr>
          <w:lang w:val="de-CH"/>
        </w:rPr>
        <w:t>, L</w:t>
      </w:r>
      <w:r w:rsidRPr="006A376B">
        <w:rPr>
          <w:vertAlign w:val="subscript"/>
          <w:lang w:val="de-CH"/>
        </w:rPr>
        <w:t>1</w:t>
      </w:r>
      <w:r w:rsidRPr="006A376B">
        <w:rPr>
          <w:lang w:val="de-CH"/>
        </w:rPr>
        <w:t xml:space="preserve"> = „Derrida“,</w:t>
      </w:r>
    </w:p>
    <w:p w14:paraId="2F93F2FB" w14:textId="77777777" w:rsidR="0055302E" w:rsidRPr="006A376B" w:rsidRDefault="0055302E" w:rsidP="00D75801">
      <w:pPr>
        <w:tabs>
          <w:tab w:val="num" w:pos="540"/>
        </w:tabs>
        <w:ind w:left="852" w:hanging="312"/>
        <w:jc w:val="both"/>
      </w:pPr>
      <w:r w:rsidRPr="006A376B">
        <w:rPr>
          <w:lang w:val="de-CH"/>
        </w:rPr>
        <w:t>L</w:t>
      </w:r>
      <w:r w:rsidRPr="006A376B">
        <w:rPr>
          <w:vertAlign w:val="subscript"/>
          <w:lang w:val="de-CH"/>
        </w:rPr>
        <w:t>0</w:t>
      </w:r>
      <w:r>
        <w:rPr>
          <w:lang w:val="de-CH"/>
        </w:rPr>
        <w:t xml:space="preserve"> = </w:t>
      </w:r>
      <w:r w:rsidRPr="006A376B">
        <w:t>«</w:t>
      </w:r>
      <w:r>
        <w:t xml:space="preserve"> </w:t>
      </w:r>
      <w:r>
        <w:rPr>
          <w:lang w:val="de-CH"/>
        </w:rPr>
        <w:t xml:space="preserve">Husserl </w:t>
      </w:r>
      <w:r w:rsidRPr="006A376B">
        <w:t>»</w:t>
      </w:r>
    </w:p>
    <w:p w14:paraId="59DD5F73" w14:textId="77777777" w:rsidR="0055302E" w:rsidRPr="006A376B" w:rsidRDefault="0055302E" w:rsidP="00D75801">
      <w:pPr>
        <w:jc w:val="both"/>
      </w:pPr>
      <w:r w:rsidRPr="006A376B">
        <w:rPr>
          <w:lang w:val="de-CH"/>
        </w:rPr>
        <w:t xml:space="preserve">etc. </w:t>
      </w:r>
    </w:p>
    <w:p w14:paraId="1CA39792" w14:textId="77777777" w:rsidR="0055302E" w:rsidRPr="006A376B" w:rsidRDefault="0055302E" w:rsidP="00D75801">
      <w:pPr>
        <w:jc w:val="both"/>
      </w:pPr>
    </w:p>
    <w:p w14:paraId="4AFA78E1" w14:textId="77777777" w:rsidR="0055302E" w:rsidRDefault="0055302E" w:rsidP="00D75801">
      <w:pPr>
        <w:ind w:firstLine="567"/>
        <w:jc w:val="both"/>
      </w:pPr>
      <w:r w:rsidRPr="006A376B">
        <w:t xml:space="preserve">Ce qui est typique du processus déconstructiviste, c’est l’impossibilité dans laquelle se trouve le lecteur de décider qui est le locuteur de (1). Dans (1), Derrida semble dire </w:t>
      </w:r>
      <w:r w:rsidRPr="00DD1E81">
        <w:rPr>
          <w:i/>
        </w:rPr>
        <w:t>p</w:t>
      </w:r>
      <w:r w:rsidRPr="006A376B">
        <w:t>, ce qui à la lumière de (2) doit en fait être attribué à Husserl : « Et c’est bien ce que dit Husserl ». Le « bien » suggère que ce qui est dit dans (1) est une paraphrase d’un texte de Husserl. C’est dans ce « bien »</w:t>
      </w:r>
      <w:r>
        <w:t>,</w:t>
      </w:r>
      <w:r w:rsidRPr="006A376B">
        <w:t xml:space="preserve"> apparemment insignifiant</w:t>
      </w:r>
      <w:r>
        <w:t>,</w:t>
      </w:r>
      <w:r w:rsidRPr="006A376B">
        <w:t xml:space="preserve"> que repose le processus déconstructiviste, qui révèle une contradiction entre ce que dit Husserl dans (1) et dans (3). C’est </w:t>
      </w:r>
      <w:r>
        <w:t xml:space="preserve">le procédé </w:t>
      </w:r>
      <w:r w:rsidRPr="006A376B">
        <w:t xml:space="preserve">que Derrida utilise pour remettre en question une autorité canonique </w:t>
      </w:r>
      <w:r>
        <w:t>telle que</w:t>
      </w:r>
      <w:r w:rsidRPr="006A376B">
        <w:t xml:space="preserve"> Husserl sans entrer lui-même en scène. Du fait que le lecteur ne sait pas avec certitude qui «</w:t>
      </w:r>
      <w:r>
        <w:t> </w:t>
      </w:r>
      <w:r w:rsidRPr="006A376B">
        <w:t>parle vraiment</w:t>
      </w:r>
      <w:r>
        <w:t> »</w:t>
      </w:r>
      <w:r w:rsidRPr="006A376B">
        <w:t xml:space="preserve">, le texte l’amène à produire certains effets de lecture. Il doit sans cesse placer l’énoncé tantôt dans le contexte argumentatif de Derrida, tantôt dans celui de Husserl. C’est l’indécidabilité </w:t>
      </w:r>
      <w:r>
        <w:t>maîtrisée</w:t>
      </w:r>
      <w:r w:rsidRPr="006A376B">
        <w:t xml:space="preserve"> des modalités énonciatives qui fait osciller le lecteur entre deux discours. Ces paraphrases et citations ambivalentes font entrer le lecteur de textes </w:t>
      </w:r>
      <w:r>
        <w:t xml:space="preserve">appartenant au canon philosophique </w:t>
      </w:r>
      <w:r w:rsidRPr="006A376B">
        <w:t>dans des discours non philosophiques, par exemple dans le discours contemporain sur la théorie de la différence saussurienne.</w:t>
      </w:r>
      <w:r>
        <w:t xml:space="preserve"> </w:t>
      </w:r>
      <w:r w:rsidRPr="006A376B">
        <w:t xml:space="preserve">Le texte apparaît également comme un mode d’emploi permettant au lecteur de mettre à jour son capital de lecture théorique et de le relier à des discussions intellectuelles extérieures à la philosophie. En cela réside la </w:t>
      </w:r>
      <w:r>
        <w:t>« </w:t>
      </w:r>
      <w:r w:rsidRPr="006A376B">
        <w:t>magie</w:t>
      </w:r>
      <w:r>
        <w:t> »</w:t>
      </w:r>
      <w:r w:rsidRPr="006A376B">
        <w:t xml:space="preserve"> du procédé déconstructiviste, </w:t>
      </w:r>
      <w:r>
        <w:t xml:space="preserve">qui peut être </w:t>
      </w:r>
      <w:r w:rsidRPr="006A376B">
        <w:t xml:space="preserve">vécu par le lecteur comme une véritable expérience de conversion. Les concepts semblent </w:t>
      </w:r>
      <w:r>
        <w:t xml:space="preserve">ainsi </w:t>
      </w:r>
      <w:r w:rsidRPr="006A376B">
        <w:t xml:space="preserve">déployer une dynamique qui leur est propre, sans aucune intervention de l’écrivain et du lecteur. </w:t>
      </w:r>
      <w:r>
        <w:t>Il en résulte</w:t>
      </w:r>
      <w:r w:rsidRPr="006A376B">
        <w:t xml:space="preserve"> une illusion de </w:t>
      </w:r>
      <w:r>
        <w:t>« </w:t>
      </w:r>
      <w:r w:rsidRPr="006A376B">
        <w:t>théorie</w:t>
      </w:r>
      <w:r w:rsidRPr="00DA38D0">
        <w:t xml:space="preserve"> </w:t>
      </w:r>
      <w:r w:rsidRPr="006A376B">
        <w:t>pure</w:t>
      </w:r>
      <w:r>
        <w:t> »</w:t>
      </w:r>
      <w:r w:rsidRPr="006A376B">
        <w:t>, qui n’a besoin de personne pour être écrite et lue.</w:t>
      </w:r>
      <w:r>
        <w:t xml:space="preserve"> </w:t>
      </w:r>
    </w:p>
    <w:p w14:paraId="05FC3C77" w14:textId="77777777" w:rsidR="0055302E" w:rsidRPr="00E63440" w:rsidRDefault="0055302E" w:rsidP="00D75801">
      <w:pPr>
        <w:ind w:firstLine="567"/>
        <w:jc w:val="both"/>
      </w:pPr>
      <w:r w:rsidRPr="006A376B">
        <w:t xml:space="preserve">Mais laissons </w:t>
      </w:r>
      <w:r>
        <w:t xml:space="preserve">là </w:t>
      </w:r>
      <w:r w:rsidRPr="006A376B">
        <w:t>les apories caractéristiques de la philosophie déconstructiv</w:t>
      </w:r>
      <w:r>
        <w:t>iste</w:t>
      </w:r>
      <w:r w:rsidRPr="006A376B">
        <w:t xml:space="preserve"> et revenons-en à la question de savoir qui parle. Une fois que l</w:t>
      </w:r>
      <w:r>
        <w:t>e lecteur a déterminé</w:t>
      </w:r>
      <w:r w:rsidRPr="006A376B">
        <w:t xml:space="preserve"> </w:t>
      </w:r>
      <w:r>
        <w:t xml:space="preserve">l’identité du </w:t>
      </w:r>
      <w:r w:rsidRPr="006A376B">
        <w:t xml:space="preserve">locuteur, il doit s’atteler à la tâche de </w:t>
      </w:r>
      <w:r>
        <w:t>déterminer</w:t>
      </w:r>
      <w:r w:rsidRPr="006A376B">
        <w:t xml:space="preserve"> la position </w:t>
      </w:r>
      <w:r>
        <w:t>de ce</w:t>
      </w:r>
      <w:r w:rsidRPr="006A376B">
        <w:t xml:space="preserve"> locuteur </w:t>
      </w:r>
      <w:r>
        <w:t>à l’égard de</w:t>
      </w:r>
      <w:r w:rsidRPr="006A376B">
        <w:t xml:space="preserve"> ce qui est dit. Ce n’est pas là non plus </w:t>
      </w:r>
      <w:r>
        <w:t>une chose simple</w:t>
      </w:r>
      <w:r w:rsidRPr="006A376B">
        <w:t>, puisqu’il dit toujours plus qu’il ne veut dire. Il parle pour ainsi dire «</w:t>
      </w:r>
      <w:r>
        <w:t> </w:t>
      </w:r>
      <w:r w:rsidRPr="006A376B">
        <w:t>en compagnie</w:t>
      </w:r>
      <w:r>
        <w:t> </w:t>
      </w:r>
      <w:r w:rsidRPr="006A376B">
        <w:t>»</w:t>
      </w:r>
      <w:r>
        <w:t>, avec des énonciateurs qui disent plus ou</w:t>
      </w:r>
      <w:r w:rsidRPr="006A376B">
        <w:t xml:space="preserve"> moins ce qu’il veut dire</w:t>
      </w:r>
      <w:r>
        <w:t>.</w:t>
      </w:r>
      <w:r w:rsidRPr="006A376B">
        <w:t xml:space="preserve"> Nous en arrivons maintenant au spectacle polyphoni</w:t>
      </w:r>
      <w:r>
        <w:t>qu</w:t>
      </w:r>
      <w:r w:rsidRPr="006A376B">
        <w:t>e que le locuteur de l’énoncé met en scène. Dans ce spectacle, le locuteur ne prend pas lui-même la parole</w:t>
      </w:r>
      <w:r>
        <w:t> </w:t>
      </w:r>
      <w:r w:rsidRPr="006A376B">
        <w:t>; en tant que metteur en scène de l’énoncé</w:t>
      </w:r>
      <w:r>
        <w:t>, il</w:t>
      </w:r>
      <w:r w:rsidRPr="006A376B">
        <w:t xml:space="preserve"> doit se tenir en retrait. Heureusement</w:t>
      </w:r>
      <w:r>
        <w:t>,</w:t>
      </w:r>
      <w:r w:rsidRPr="006A376B">
        <w:t xml:space="preserve"> il a à sa disposition de nombreux énonciateurs qu’il </w:t>
      </w:r>
      <w:r>
        <w:t xml:space="preserve">peut </w:t>
      </w:r>
      <w:r w:rsidRPr="006A376B">
        <w:t>propulse</w:t>
      </w:r>
      <w:r>
        <w:t>r</w:t>
      </w:r>
      <w:r w:rsidRPr="006A376B">
        <w:t xml:space="preserve"> sur la scène de l’énoncé et au</w:t>
      </w:r>
      <w:r>
        <w:t>x</w:t>
      </w:r>
      <w:r w:rsidRPr="006A376B">
        <w:t>quel</w:t>
      </w:r>
      <w:r>
        <w:t>s</w:t>
      </w:r>
      <w:r w:rsidRPr="006A376B">
        <w:t xml:space="preserve"> il </w:t>
      </w:r>
      <w:r>
        <w:t xml:space="preserve">peut </w:t>
      </w:r>
      <w:r w:rsidRPr="006A376B">
        <w:t>confie</w:t>
      </w:r>
      <w:r>
        <w:t>r la tâche de proférer ses contenus</w:t>
      </w:r>
      <w:r w:rsidRPr="00E63440">
        <w:t xml:space="preserve">. </w:t>
      </w:r>
    </w:p>
    <w:p w14:paraId="38A843D9" w14:textId="77777777" w:rsidR="0055302E" w:rsidRPr="006A376B" w:rsidRDefault="0055302E" w:rsidP="00D75801">
      <w:pPr>
        <w:ind w:firstLine="708"/>
        <w:jc w:val="both"/>
      </w:pPr>
      <w:r w:rsidRPr="006A376B">
        <w:t>Que nous apporte la comparaison avec le monde du théâtre</w:t>
      </w:r>
      <w:r>
        <w:t xml:space="preserve"> et</w:t>
      </w:r>
      <w:r w:rsidRPr="006A376B">
        <w:t xml:space="preserve"> de la musique ? Au lieu de concevoir les énoncés comme l’expression d’</w:t>
      </w:r>
      <w:r w:rsidRPr="00E63440">
        <w:rPr>
          <w:i/>
        </w:rPr>
        <w:t>un</w:t>
      </w:r>
      <w:r w:rsidRPr="006A376B">
        <w:t xml:space="preserve"> sens, nous pouvons maintenant les comprendre comme</w:t>
      </w:r>
      <w:r>
        <w:t xml:space="preserve"> des composés de</w:t>
      </w:r>
      <w:r w:rsidRPr="006A376B">
        <w:t xml:space="preserve"> perspectives </w:t>
      </w:r>
      <w:r>
        <w:t>et de niveaux</w:t>
      </w:r>
      <w:r w:rsidRPr="006A376B">
        <w:t xml:space="preserve"> énonciatifs qui </w:t>
      </w:r>
      <w:r>
        <w:t xml:space="preserve">forment des emboîtements complexes et des superpositions hétérogènes. </w:t>
      </w:r>
      <w:r w:rsidRPr="006A376B">
        <w:t>Pour signaler le déroulement polyphonique qui caractérise le discours jusqu’au nive</w:t>
      </w:r>
      <w:r>
        <w:t>au de s</w:t>
      </w:r>
      <w:r w:rsidRPr="006A376B">
        <w:t xml:space="preserve">es énoncés séparés, les textes </w:t>
      </w:r>
      <w:r w:rsidRPr="006A376B">
        <w:lastRenderedPageBreak/>
        <w:t>recourent à certains marqueurs formels, les traces de l’énonciation</w:t>
      </w:r>
      <w:r>
        <w:t>,</w:t>
      </w:r>
      <w:r w:rsidRPr="006A376B">
        <w:t xml:space="preserve"> comme par exemple </w:t>
      </w:r>
      <w:r>
        <w:rPr>
          <w:i/>
        </w:rPr>
        <w:t>ne… p</w:t>
      </w:r>
      <w:r w:rsidRPr="00E63440">
        <w:rPr>
          <w:i/>
        </w:rPr>
        <w:t xml:space="preserve">as </w:t>
      </w:r>
      <w:r w:rsidRPr="006A376B">
        <w:t>dans l’énoncé (3). Ainsi</w:t>
      </w:r>
      <w:r>
        <w:t>, du point de vue de la théorie de l’énonciation,</w:t>
      </w:r>
      <w:r w:rsidRPr="006A376B">
        <w:t xml:space="preserve"> la négation </w:t>
      </w:r>
      <w:r w:rsidRPr="00383BFE">
        <w:rPr>
          <w:i/>
        </w:rPr>
        <w:t>ne</w:t>
      </w:r>
      <w:proofErr w:type="gramStart"/>
      <w:r w:rsidRPr="00383BFE">
        <w:rPr>
          <w:i/>
        </w:rPr>
        <w:t>…</w:t>
      </w:r>
      <w:r>
        <w:rPr>
          <w:i/>
        </w:rPr>
        <w:t xml:space="preserve"> </w:t>
      </w:r>
      <w:r w:rsidRPr="00383BFE">
        <w:rPr>
          <w:i/>
        </w:rPr>
        <w:t>pas</w:t>
      </w:r>
      <w:r w:rsidRPr="006A376B">
        <w:t xml:space="preserve"> induit</w:t>
      </w:r>
      <w:proofErr w:type="gramEnd"/>
      <w:r w:rsidRPr="006A376B">
        <w:t xml:space="preserve"> un processus énonciatif complexe avec deux perspectives d’énonciation </w:t>
      </w:r>
      <w:r>
        <w:t>dé</w:t>
      </w:r>
      <w:r w:rsidRPr="006A376B">
        <w:t>limitée</w:t>
      </w:r>
      <w:r>
        <w:t>s</w:t>
      </w:r>
      <w:r w:rsidRPr="006A376B">
        <w:t xml:space="preserve">. </w:t>
      </w:r>
      <w:r>
        <w:rPr>
          <w:i/>
        </w:rPr>
        <w:t xml:space="preserve">Ne… </w:t>
      </w:r>
      <w:r w:rsidRPr="00383BFE">
        <w:rPr>
          <w:i/>
        </w:rPr>
        <w:t>pas</w:t>
      </w:r>
      <w:r>
        <w:t xml:space="preserve"> n’est pas</w:t>
      </w:r>
      <w:r w:rsidRPr="006A376B">
        <w:t xml:space="preserve"> un opérateur mathématique qui se contente de transformer </w:t>
      </w:r>
      <w:r>
        <w:t>un fait</w:t>
      </w:r>
      <w:r w:rsidRPr="006A376B">
        <w:t xml:space="preserve"> d’un</w:t>
      </w:r>
      <w:r>
        <w:t>e</w:t>
      </w:r>
      <w:r w:rsidRPr="006A376B">
        <w:t xml:space="preserve"> </w:t>
      </w:r>
      <w:r>
        <w:t>valeur positive</w:t>
      </w:r>
      <w:r w:rsidRPr="006A376B">
        <w:t xml:space="preserve"> </w:t>
      </w:r>
      <w:r>
        <w:t>en valeur négative</w:t>
      </w:r>
      <w:r w:rsidRPr="006A376B">
        <w:t xml:space="preserve">. Il scinde </w:t>
      </w:r>
      <w:r>
        <w:t xml:space="preserve">bien </w:t>
      </w:r>
      <w:r w:rsidRPr="006A376B">
        <w:t xml:space="preserve">plutôt </w:t>
      </w:r>
      <w:r>
        <w:t>ce qui est</w:t>
      </w:r>
      <w:r w:rsidRPr="006A376B">
        <w:t xml:space="preserve"> dit en deux perspectives énonciatives. </w:t>
      </w:r>
      <w:r>
        <w:rPr>
          <w:i/>
        </w:rPr>
        <w:t xml:space="preserve">Ne… </w:t>
      </w:r>
      <w:r w:rsidRPr="00383BFE">
        <w:rPr>
          <w:i/>
        </w:rPr>
        <w:t>pas</w:t>
      </w:r>
      <w:r>
        <w:t xml:space="preserve"> </w:t>
      </w:r>
      <w:r w:rsidRPr="006A376B">
        <w:t xml:space="preserve">déclenche un dialogue imaginaire </w:t>
      </w:r>
      <w:r>
        <w:t>entre deux perspectives (</w:t>
      </w:r>
      <w:r w:rsidRPr="006A376B">
        <w:rPr>
          <w:lang w:val="de-CH"/>
        </w:rPr>
        <w:t>per</w:t>
      </w:r>
      <w:r>
        <w:rPr>
          <w:vertAlign w:val="subscript"/>
          <w:lang w:val="de-CH"/>
        </w:rPr>
        <w:t>1</w:t>
      </w:r>
      <w:r>
        <w:t xml:space="preserve"> et </w:t>
      </w:r>
      <w:r w:rsidRPr="006A376B">
        <w:rPr>
          <w:lang w:val="de-CH"/>
        </w:rPr>
        <w:t>per</w:t>
      </w:r>
      <w:r w:rsidRPr="006A376B">
        <w:rPr>
          <w:vertAlign w:val="subscript"/>
          <w:lang w:val="de-CH"/>
        </w:rPr>
        <w:t>2</w:t>
      </w:r>
      <w:r>
        <w:t>) q</w:t>
      </w:r>
      <w:r w:rsidRPr="006A376B">
        <w:t xml:space="preserve">ue l’on peut formaliser de la manière suivante : </w:t>
      </w:r>
    </w:p>
    <w:p w14:paraId="2A3FB287" w14:textId="77777777" w:rsidR="0055302E" w:rsidRDefault="0055302E" w:rsidP="00D75801">
      <w:pPr>
        <w:jc w:val="both"/>
        <w:rPr>
          <w:lang w:val="de-CH"/>
        </w:rPr>
      </w:pPr>
    </w:p>
    <w:p w14:paraId="68B09E96" w14:textId="77777777" w:rsidR="0055302E" w:rsidRPr="006A376B" w:rsidRDefault="0055302E" w:rsidP="00D75801">
      <w:pPr>
        <w:jc w:val="both"/>
      </w:pPr>
      <w:r w:rsidRPr="006A376B">
        <w:rPr>
          <w:lang w:val="de-CH"/>
        </w:rPr>
        <w:t>per</w:t>
      </w:r>
      <w:r w:rsidRPr="006A376B">
        <w:rPr>
          <w:vertAlign w:val="subscript"/>
          <w:lang w:val="de-CH"/>
        </w:rPr>
        <w:t>1</w:t>
      </w:r>
      <w:r w:rsidRPr="006A376B">
        <w:rPr>
          <w:lang w:val="de-CH"/>
        </w:rPr>
        <w:t xml:space="preserve"> (3): [a</w:t>
      </w:r>
      <w:r w:rsidRPr="006A376B">
        <w:rPr>
          <w:vertAlign w:val="subscript"/>
          <w:lang w:val="de-CH"/>
        </w:rPr>
        <w:t>1</w:t>
      </w:r>
      <w:r>
        <w:rPr>
          <w:lang w:val="de-CH"/>
        </w:rPr>
        <w:t xml:space="preserve">] (VRAI p: </w:t>
      </w:r>
      <w:r w:rsidRPr="006A376B">
        <w:rPr>
          <w:i/>
          <w:iCs/>
        </w:rPr>
        <w:t>les « actes psychiques » s’annoncent par l’intermédiaire d’une « </w:t>
      </w:r>
      <w:proofErr w:type="spellStart"/>
      <w:r w:rsidRPr="006A376B">
        <w:rPr>
          <w:i/>
          <w:iCs/>
        </w:rPr>
        <w:t>Kungabe</w:t>
      </w:r>
      <w:proofErr w:type="spellEnd"/>
      <w:r w:rsidRPr="006A376B">
        <w:rPr>
          <w:i/>
          <w:iCs/>
        </w:rPr>
        <w:t> »</w:t>
      </w:r>
      <w:r w:rsidRPr="006A376B">
        <w:rPr>
          <w:lang w:val="de-CH"/>
        </w:rPr>
        <w:t>)</w:t>
      </w:r>
      <w:r w:rsidRPr="006A376B">
        <w:t xml:space="preserve"> </w:t>
      </w:r>
    </w:p>
    <w:p w14:paraId="5AC0CD83" w14:textId="77777777" w:rsidR="0055302E" w:rsidRPr="00713BFF" w:rsidRDefault="0055302E" w:rsidP="00D75801">
      <w:pPr>
        <w:jc w:val="both"/>
      </w:pPr>
      <w:r w:rsidRPr="006A376B">
        <w:rPr>
          <w:lang w:val="de-CH"/>
        </w:rPr>
        <w:t>per</w:t>
      </w:r>
      <w:r w:rsidRPr="006A376B">
        <w:rPr>
          <w:vertAlign w:val="subscript"/>
          <w:lang w:val="de-CH"/>
        </w:rPr>
        <w:t>2</w:t>
      </w:r>
      <w:r w:rsidRPr="006A376B">
        <w:rPr>
          <w:lang w:val="de-CH"/>
        </w:rPr>
        <w:t xml:space="preserve"> (3): [l</w:t>
      </w:r>
      <w:r w:rsidRPr="006A376B">
        <w:rPr>
          <w:vertAlign w:val="subscript"/>
          <w:lang w:val="de-CH"/>
        </w:rPr>
        <w:t>0</w:t>
      </w:r>
      <w:r w:rsidRPr="006A376B">
        <w:rPr>
          <w:lang w:val="de-CH"/>
        </w:rPr>
        <w:t>] (</w:t>
      </w:r>
      <w:r>
        <w:rPr>
          <w:lang w:val="de-CH"/>
        </w:rPr>
        <w:t>NON</w:t>
      </w:r>
      <w:r w:rsidRPr="006A376B">
        <w:rPr>
          <w:lang w:val="de-CH"/>
        </w:rPr>
        <w:t xml:space="preserve"> per</w:t>
      </w:r>
      <w:r w:rsidRPr="006A376B">
        <w:rPr>
          <w:vertAlign w:val="subscript"/>
          <w:lang w:val="de-CH"/>
        </w:rPr>
        <w:t>1</w:t>
      </w:r>
      <w:r w:rsidRPr="006A376B">
        <w:rPr>
          <w:lang w:val="de-CH"/>
        </w:rPr>
        <w:t>)</w:t>
      </w:r>
      <w:r w:rsidRPr="006A376B">
        <w:t xml:space="preserve"> </w:t>
      </w:r>
    </w:p>
    <w:p w14:paraId="3198FF72" w14:textId="77777777" w:rsidR="0055302E" w:rsidRPr="006A376B" w:rsidRDefault="0055302E" w:rsidP="00D75801">
      <w:pPr>
        <w:jc w:val="both"/>
      </w:pPr>
    </w:p>
    <w:p w14:paraId="558C7E9F" w14:textId="77777777" w:rsidR="0055302E" w:rsidRPr="00F461F9" w:rsidRDefault="0055302E" w:rsidP="00D75801">
      <w:pPr>
        <w:ind w:firstLine="708"/>
        <w:jc w:val="both"/>
      </w:pPr>
      <w:r w:rsidRPr="006A376B">
        <w:t>Nous voyons ici les deux perspectives</w:t>
      </w:r>
      <w:r>
        <w:t xml:space="preserve"> énonciatives</w:t>
      </w:r>
      <w:r w:rsidRPr="006A376B">
        <w:t xml:space="preserve"> superposées</w:t>
      </w:r>
      <w:r>
        <w:t xml:space="preserve"> en (a)</w:t>
      </w:r>
      <w:r w:rsidRPr="006A376B">
        <w:t xml:space="preserve"> per</w:t>
      </w:r>
      <w:r w:rsidRPr="006A376B">
        <w:rPr>
          <w:vertAlign w:val="subscript"/>
        </w:rPr>
        <w:t>1</w:t>
      </w:r>
      <w:r w:rsidRPr="006A376B">
        <w:t xml:space="preserve"> </w:t>
      </w:r>
      <w:r>
        <w:t xml:space="preserve">et </w:t>
      </w:r>
      <w:r w:rsidRPr="006A376B">
        <w:t>per</w:t>
      </w:r>
      <w:r w:rsidRPr="006A376B">
        <w:rPr>
          <w:vertAlign w:val="subscript"/>
        </w:rPr>
        <w:t>2</w:t>
      </w:r>
      <w:r w:rsidRPr="006A376B">
        <w:t>, dont les énonciateurs a</w:t>
      </w:r>
      <w:r w:rsidRPr="006A376B">
        <w:rPr>
          <w:vertAlign w:val="subscript"/>
        </w:rPr>
        <w:t>1</w:t>
      </w:r>
      <w:r w:rsidRPr="006A376B">
        <w:t xml:space="preserve"> </w:t>
      </w:r>
      <w:r>
        <w:t>et</w:t>
      </w:r>
      <w:r w:rsidRPr="006A376B">
        <w:t xml:space="preserve"> l</w:t>
      </w:r>
      <w:r w:rsidRPr="006A376B">
        <w:rPr>
          <w:vertAlign w:val="subscript"/>
        </w:rPr>
        <w:t>0</w:t>
      </w:r>
      <w:r w:rsidRPr="006A376B">
        <w:t xml:space="preserve"> </w:t>
      </w:r>
      <w:r>
        <w:t>portent</w:t>
      </w:r>
      <w:r w:rsidRPr="006A376B">
        <w:t xml:space="preserve"> des contenus propositionnels particuliers. Ici</w:t>
      </w:r>
      <w:r>
        <w:t>,</w:t>
      </w:r>
      <w:r w:rsidRPr="006A376B">
        <w:t xml:space="preserve"> a</w:t>
      </w:r>
      <w:r w:rsidRPr="006A376B">
        <w:rPr>
          <w:vertAlign w:val="subscript"/>
        </w:rPr>
        <w:t>1</w:t>
      </w:r>
      <w:r w:rsidRPr="006A376B">
        <w:t xml:space="preserve"> dit que </w:t>
      </w:r>
      <w:r>
        <w:t>« </w:t>
      </w:r>
      <w:r>
        <w:rPr>
          <w:iCs/>
        </w:rPr>
        <w:t xml:space="preserve">les actes psychiques </w:t>
      </w:r>
      <w:r w:rsidRPr="00383BFE">
        <w:rPr>
          <w:iCs/>
        </w:rPr>
        <w:t>s’annonc</w:t>
      </w:r>
      <w:r>
        <w:rPr>
          <w:iCs/>
        </w:rPr>
        <w:t xml:space="preserve">ent par l’intermédiaire d’une </w:t>
      </w:r>
      <w:proofErr w:type="spellStart"/>
      <w:r>
        <w:rPr>
          <w:iCs/>
        </w:rPr>
        <w:t>Kungabe</w:t>
      </w:r>
      <w:proofErr w:type="spellEnd"/>
      <w:r>
        <w:rPr>
          <w:iCs/>
        </w:rPr>
        <w:t xml:space="preserve"> » </w:t>
      </w:r>
      <w:r w:rsidRPr="006A376B">
        <w:t>etc., alors que la fonction de l</w:t>
      </w:r>
      <w:r w:rsidRPr="006A376B">
        <w:rPr>
          <w:vertAlign w:val="subscript"/>
        </w:rPr>
        <w:t>0</w:t>
      </w:r>
      <w:r w:rsidRPr="006A376B">
        <w:t xml:space="preserve">, </w:t>
      </w:r>
      <w:r>
        <w:t>représentant du</w:t>
      </w:r>
      <w:r w:rsidRPr="006A376B">
        <w:t xml:space="preserve"> locuteur, se borne à refuser ce qui est dit par a</w:t>
      </w:r>
      <w:r w:rsidRPr="006A376B">
        <w:rPr>
          <w:vertAlign w:val="subscript"/>
        </w:rPr>
        <w:t>1</w:t>
      </w:r>
      <w:r w:rsidRPr="006A376B">
        <w:t>. Nous avons affaire à deux énonciateurs qui repr</w:t>
      </w:r>
      <w:r>
        <w:t>ésentent</w:t>
      </w:r>
      <w:r w:rsidRPr="006A376B">
        <w:t xml:space="preserve"> tantôt l’autre, l’allocut</w:t>
      </w:r>
      <w:r>
        <w:t>ai</w:t>
      </w:r>
      <w:r w:rsidRPr="006A376B">
        <w:t>r</w:t>
      </w:r>
      <w:r>
        <w:t>e, et</w:t>
      </w:r>
      <w:r w:rsidRPr="006A376B">
        <w:t xml:space="preserve"> tantôt le locuteur. </w:t>
      </w:r>
      <w:r w:rsidRPr="00545757">
        <w:rPr>
          <w:i/>
        </w:rPr>
        <w:t>Ne…</w:t>
      </w:r>
      <w:r>
        <w:rPr>
          <w:i/>
        </w:rPr>
        <w:t xml:space="preserve"> </w:t>
      </w:r>
      <w:r w:rsidRPr="00545757">
        <w:rPr>
          <w:i/>
        </w:rPr>
        <w:t>pas</w:t>
      </w:r>
      <w:r>
        <w:t xml:space="preserve"> </w:t>
      </w:r>
      <w:r w:rsidRPr="006A376B">
        <w:t xml:space="preserve">invite le lecteur à </w:t>
      </w:r>
      <w:r>
        <w:t>attribuer ce qui est dit à l’all</w:t>
      </w:r>
      <w:r w:rsidRPr="006A376B">
        <w:t>ocut</w:t>
      </w:r>
      <w:r>
        <w:t>ai</w:t>
      </w:r>
      <w:r w:rsidRPr="006A376B">
        <w:t>r</w:t>
      </w:r>
      <w:r>
        <w:t>e</w:t>
      </w:r>
      <w:r w:rsidRPr="006A376B">
        <w:t xml:space="preserve">. </w:t>
      </w:r>
    </w:p>
    <w:p w14:paraId="09E27B2C" w14:textId="77777777" w:rsidR="0055302E" w:rsidRPr="006A376B" w:rsidRDefault="0055302E" w:rsidP="00D75801">
      <w:pPr>
        <w:ind w:firstLine="567"/>
        <w:jc w:val="both"/>
      </w:pPr>
      <w:r w:rsidRPr="006A376B">
        <w:t>Les discours opèrent avec de nombreux, très nombreux énonciateurs, au</w:t>
      </w:r>
      <w:r>
        <w:t>x</w:t>
      </w:r>
      <w:r w:rsidRPr="006A376B">
        <w:t>quel</w:t>
      </w:r>
      <w:r>
        <w:t>s</w:t>
      </w:r>
      <w:r w:rsidRPr="006A376B">
        <w:t xml:space="preserve"> doit se confronter le lecteur qui entre dans le discours. </w:t>
      </w:r>
      <w:r>
        <w:t xml:space="preserve">Plutôt que comme </w:t>
      </w:r>
      <w:r w:rsidRPr="006A376B">
        <w:t xml:space="preserve">un grand dispositif grammatical </w:t>
      </w:r>
      <w:r>
        <w:t>pres</w:t>
      </w:r>
      <w:r w:rsidRPr="006A376B">
        <w:t>crivant ce qui doit être pensé et dit, il faut plutôt voir le discours comme un ensemble ouvert d’énoncés disséminés</w:t>
      </w:r>
      <w:r>
        <w:t xml:space="preserve"> et fourmillant d’</w:t>
      </w:r>
      <w:r w:rsidRPr="006A376B">
        <w:t>énonciateu</w:t>
      </w:r>
      <w:r>
        <w:t>rs. Ces énonciateurs bavardent en tout anonymat</w:t>
      </w:r>
      <w:r w:rsidRPr="006A376B">
        <w:t xml:space="preserve"> tant que le lecteur ne leur a pas assigné leurs instances et leurs fonctions communicationnelles</w:t>
      </w:r>
      <w:r w:rsidRPr="00545757">
        <w:t xml:space="preserve">. </w:t>
      </w:r>
      <w:r w:rsidRPr="006A376B">
        <w:t xml:space="preserve">C’est seulement quand le lecteur, à partir des traces et des signaux du texte, élucide la position du locuteur par rapport à ce qui est dit, que se révèlent </w:t>
      </w:r>
      <w:r>
        <w:t>à lui</w:t>
      </w:r>
      <w:r w:rsidRPr="006A376B">
        <w:t xml:space="preserve"> les contextes plus généraux du discours, dont l’extrait de</w:t>
      </w:r>
      <w:r>
        <w:t xml:space="preserve"> texte représente un fragment. À mesure que le lecteur s’attaque,</w:t>
      </w:r>
      <w:r w:rsidRPr="006A376B">
        <w:t xml:space="preserve"> un énoncé après l’autre, </w:t>
      </w:r>
      <w:r>
        <w:t>aux</w:t>
      </w:r>
      <w:r w:rsidRPr="006A376B">
        <w:t xml:space="preserve"> problèmes </w:t>
      </w:r>
      <w:r>
        <w:t xml:space="preserve">d’interprétation </w:t>
      </w:r>
      <w:r w:rsidRPr="006A376B">
        <w:t>du discours</w:t>
      </w:r>
      <w:r>
        <w:t>,</w:t>
      </w:r>
      <w:r w:rsidRPr="006A376B">
        <w:t xml:space="preserve"> un nombre raisonnable de positions </w:t>
      </w:r>
      <w:r>
        <w:t>plus ou moins stables du sujet</w:t>
      </w:r>
      <w:r w:rsidRPr="006A376B">
        <w:t xml:space="preserve"> v</w:t>
      </w:r>
      <w:r>
        <w:t>ont</w:t>
      </w:r>
      <w:r w:rsidRPr="006A376B">
        <w:t xml:space="preserve"> se cristalliser, a</w:t>
      </w:r>
      <w:r>
        <w:t xml:space="preserve">uxquelles </w:t>
      </w:r>
      <w:proofErr w:type="gramStart"/>
      <w:r>
        <w:t>sont</w:t>
      </w:r>
      <w:proofErr w:type="gramEnd"/>
      <w:r>
        <w:t xml:space="preserve"> liées certaines propositions</w:t>
      </w:r>
      <w:r w:rsidRPr="006A376B">
        <w:t xml:space="preserve"> de subjectivité. Le lecteur va se constituer un savoir </w:t>
      </w:r>
      <w:r>
        <w:t xml:space="preserve">concernant </w:t>
      </w:r>
      <w:r w:rsidRPr="006A376B">
        <w:t xml:space="preserve">les acteurs importants du discours théorique, dans lequel non seulement </w:t>
      </w:r>
      <w:r>
        <w:t>« </w:t>
      </w:r>
      <w:r w:rsidRPr="006A376B">
        <w:t>Derrida</w:t>
      </w:r>
      <w:r>
        <w:t> »</w:t>
      </w:r>
      <w:r w:rsidRPr="006A376B">
        <w:t xml:space="preserve"> joue un rôle</w:t>
      </w:r>
      <w:r>
        <w:t>, en tant qu’</w:t>
      </w:r>
      <w:r w:rsidRPr="006A376B">
        <w:t xml:space="preserve">auteur présumé, mais aussi d’autres acteurs dont on ne connaît pas forcément le nom. « Derrida » peut alors lui-même devenir </w:t>
      </w:r>
      <w:r>
        <w:t>le label</w:t>
      </w:r>
      <w:r w:rsidRPr="006A376B">
        <w:t xml:space="preserve"> d’un mouvement, que </w:t>
      </w:r>
      <w:r>
        <w:t>le locuteur</w:t>
      </w:r>
      <w:r w:rsidRPr="006A376B">
        <w:t xml:space="preserve"> l’accepte ou qu’il le refuse. Dans tous les cas, l’association d’un nom comme</w:t>
      </w:r>
      <w:r>
        <w:t xml:space="preserve"> </w:t>
      </w:r>
      <w:r w:rsidRPr="006A376B">
        <w:t xml:space="preserve">« Derrida » à un mouvement intellectuel est un effet de lecture qui se base aussi bien sur ce que le lecteur trouve dans les textes théoriques que sur le savoir dont il dispose concernant les </w:t>
      </w:r>
      <w:r>
        <w:t>contextes</w:t>
      </w:r>
      <w:r w:rsidRPr="006A376B">
        <w:t xml:space="preserve">. Lorsque nous parlons et que nous écrivons, nous sommes donc toujours </w:t>
      </w:r>
      <w:r>
        <w:t xml:space="preserve">déjà </w:t>
      </w:r>
      <w:r w:rsidRPr="006A376B">
        <w:t>en co</w:t>
      </w:r>
      <w:r>
        <w:t>mpagnie d’énonciateurs anonymes</w:t>
      </w:r>
      <w:r w:rsidRPr="0035606E">
        <w:t xml:space="preserve">. </w:t>
      </w:r>
      <w:r w:rsidRPr="006A376B">
        <w:t xml:space="preserve">Lorsque nous parlons et que nous écrivons, nous devons aussi donner la parole à des énonciateurs dont nous ne voulons pas entendre parler, et cela constitue l’hétérogénéité d’un discours dans lequel il en va des contenus </w:t>
      </w:r>
      <w:r>
        <w:t xml:space="preserve">exactement </w:t>
      </w:r>
      <w:r w:rsidRPr="006A376B">
        <w:t xml:space="preserve">comme de la question de </w:t>
      </w:r>
      <w:r>
        <w:t>savoir comment ils sont énoncés</w:t>
      </w:r>
      <w:r w:rsidRPr="006A376B">
        <w:t xml:space="preserve">. </w:t>
      </w:r>
    </w:p>
    <w:p w14:paraId="509BFF8E" w14:textId="77777777" w:rsidR="0055302E" w:rsidRDefault="0055302E" w:rsidP="00D75801">
      <w:pPr>
        <w:ind w:firstLine="708"/>
        <w:jc w:val="both"/>
      </w:pPr>
      <w:r>
        <w:t>Mais l</w:t>
      </w:r>
      <w:r w:rsidRPr="006A376B">
        <w:t xml:space="preserve">’hétérogénéité du discours se manifeste encore d’une autre manière. Outre les opérateurs polyphoniques comme </w:t>
      </w:r>
      <w:r w:rsidRPr="0035606E">
        <w:rPr>
          <w:i/>
        </w:rPr>
        <w:t>ne</w:t>
      </w:r>
      <w:r>
        <w:rPr>
          <w:i/>
        </w:rPr>
        <w:t xml:space="preserve">… </w:t>
      </w:r>
      <w:r w:rsidRPr="0035606E">
        <w:rPr>
          <w:i/>
        </w:rPr>
        <w:t>pas</w:t>
      </w:r>
      <w:r w:rsidRPr="006A376B">
        <w:t xml:space="preserve">, nous pouvons </w:t>
      </w:r>
      <w:r>
        <w:t>signaler les guillemets et les mots en italique,</w:t>
      </w:r>
      <w:r w:rsidRPr="006A376B">
        <w:t xml:space="preserve"> </w:t>
      </w:r>
      <w:r>
        <w:t>qui créent de la</w:t>
      </w:r>
      <w:r w:rsidRPr="006A376B">
        <w:t xml:space="preserve"> polyphonie</w:t>
      </w:r>
      <w:r>
        <w:t xml:space="preserve"> et marquent le</w:t>
      </w:r>
      <w:r w:rsidRPr="006A376B">
        <w:t xml:space="preserve"> passage d’un dis</w:t>
      </w:r>
      <w:r>
        <w:t xml:space="preserve">cours citant à un discours cité </w:t>
      </w:r>
      <w:r w:rsidRPr="005D3B0D">
        <w:fldChar w:fldCharType="begin"/>
      </w:r>
      <w:r w:rsidRPr="005D3B0D">
        <w:instrText xml:space="preserve"> ADDIN EN.CITE &lt;EndNote&gt;&lt;Cite&gt;&lt;Author&gt;Rosier&lt;/Author&gt;&lt;Year&gt;1999&lt;/Year&gt;&lt;RecNum&gt;3125&lt;/RecNum&gt;&lt;DisplayText&gt;(Rosier 1999)&lt;/DisplayText&gt;&lt;record&gt;&lt;rec-number&gt;3125&lt;/rec-number&gt;&lt;foreign-keys&gt;&lt;key app="EN" db-id="xex2xftfwapr9fevte1xdv5nadff9da5rfvr" timestamp="0"&gt;3125&lt;/key&gt;&lt;key app="ENWeb" db-id="TQQOLwrtqggAACTbTtM"&gt;2493&lt;/key&gt;&lt;/foreign-keys&gt;&lt;ref-type name="Book"&gt;6&lt;/ref-type&gt;&lt;contributors&gt;&lt;authors&gt;&lt;author&gt;Rosier, Laurence&lt;/author&gt;&lt;/authors&gt;&lt;/contributors&gt;&lt;titles&gt;&lt;title&gt;Le discours rapporté: histoire, théories, pratiques&lt;/title&gt;&lt;/titles&gt;&lt;dates&gt;&lt;year&gt;1999&lt;/year&gt;&lt;/dates&gt;&lt;pub-location&gt;Bruxelles&lt;/pub-location&gt;&lt;publisher&gt;Duculot&lt;/publisher&gt;&lt;urls&gt;&lt;/urls&gt;&lt;/record&gt;&lt;/Cite&gt;&lt;/EndNote&gt;</w:instrText>
      </w:r>
      <w:r w:rsidRPr="005D3B0D">
        <w:fldChar w:fldCharType="separate"/>
      </w:r>
      <w:r w:rsidRPr="005D3B0D">
        <w:rPr>
          <w:noProof/>
        </w:rPr>
        <w:t>(Rosier 1999)</w:t>
      </w:r>
      <w:r w:rsidRPr="005D3B0D">
        <w:fldChar w:fldCharType="end"/>
      </w:r>
      <w:r w:rsidRPr="006A376B">
        <w:t>. Dans (3), ces marqueurs typographiques mettent en contact deux discours qui sont prononcé</w:t>
      </w:r>
      <w:r>
        <w:t>s dans des contextes différents</w:t>
      </w:r>
      <w:r w:rsidRPr="00DC79AC">
        <w:t xml:space="preserve">. </w:t>
      </w:r>
      <w:r w:rsidRPr="006A376B">
        <w:t xml:space="preserve">Eu égard au discours citant, le lecteur trouve des </w:t>
      </w:r>
      <w:r>
        <w:t>éléments</w:t>
      </w:r>
      <w:r w:rsidRPr="006A376B">
        <w:t xml:space="preserve"> dans le cotexte et le paratexte immédiats et, outre le nom de l’auteur, </w:t>
      </w:r>
      <w:r>
        <w:t xml:space="preserve">il notera sans doute </w:t>
      </w:r>
      <w:r w:rsidRPr="006A376B">
        <w:t xml:space="preserve">la date et le lieu </w:t>
      </w:r>
      <w:r>
        <w:t>de parution du livre, à savoir « 1967 »</w:t>
      </w:r>
      <w:r w:rsidRPr="006A376B">
        <w:t xml:space="preserve"> et </w:t>
      </w:r>
      <w:r>
        <w:t>« </w:t>
      </w:r>
      <w:r w:rsidRPr="006A376B">
        <w:t>Paris</w:t>
      </w:r>
      <w:r>
        <w:t xml:space="preserve"> ». </w:t>
      </w:r>
      <w:r w:rsidRPr="006A376B">
        <w:t xml:space="preserve">Concernant le discours cité, le cotexte en revanche </w:t>
      </w:r>
      <w:r>
        <w:t>n’indique que le locuteur (Husserl) ;</w:t>
      </w:r>
      <w:r w:rsidRPr="006A376B">
        <w:t xml:space="preserve"> pour déterminer le temps et le lieu, le lecteur est renvoyé à son savoir encyclopédique</w:t>
      </w:r>
      <w:r>
        <w:t>,</w:t>
      </w:r>
      <w:r w:rsidRPr="006A376B">
        <w:t xml:space="preserve"> et il sait </w:t>
      </w:r>
      <w:r>
        <w:t xml:space="preserve">peut-être </w:t>
      </w:r>
      <w:r w:rsidRPr="006A376B">
        <w:t xml:space="preserve">que Husserl est un philosophe allemand du premier tiers du </w:t>
      </w:r>
      <w:r w:rsidRPr="006A376B">
        <w:lastRenderedPageBreak/>
        <w:t>20</w:t>
      </w:r>
      <w:r w:rsidRPr="006A376B">
        <w:rPr>
          <w:vertAlign w:val="superscript"/>
        </w:rPr>
        <w:t>e</w:t>
      </w:r>
      <w:r>
        <w:t> </w:t>
      </w:r>
      <w:r w:rsidRPr="006A376B">
        <w:t xml:space="preserve">siècle. Quel que soit le savoir </w:t>
      </w:r>
      <w:proofErr w:type="gramStart"/>
      <w:r w:rsidRPr="006A376B">
        <w:t>convoqué</w:t>
      </w:r>
      <w:proofErr w:type="gramEnd"/>
      <w:r w:rsidRPr="006A376B">
        <w:t xml:space="preserve"> dans le passage du discours </w:t>
      </w:r>
      <w:r>
        <w:t>derridien</w:t>
      </w:r>
      <w:r w:rsidRPr="006A376B">
        <w:t xml:space="preserve"> au discours husserlien, le lecteur doit en même temps entreprendre </w:t>
      </w:r>
      <w:r>
        <w:t>un</w:t>
      </w:r>
      <w:r w:rsidRPr="006A376B">
        <w:t xml:space="preserve"> voyage dans différents contextes d’énonciation</w:t>
      </w:r>
      <w:r>
        <w:t>,</w:t>
      </w:r>
      <w:r w:rsidRPr="006A376B">
        <w:t xml:space="preserve"> qui le mène en terrain plus ou moins connu. Il n’y a pas « le » discours : il </w:t>
      </w:r>
      <w:r>
        <w:t xml:space="preserve">convient </w:t>
      </w:r>
      <w:r w:rsidRPr="006A376B">
        <w:t xml:space="preserve">plutôt </w:t>
      </w:r>
      <w:r>
        <w:t>d’</w:t>
      </w:r>
      <w:r w:rsidRPr="006A376B">
        <w:t xml:space="preserve">analyser </w:t>
      </w:r>
      <w:r>
        <w:t>celui-ci</w:t>
      </w:r>
      <w:r w:rsidRPr="006A376B">
        <w:t xml:space="preserve"> en tant qu’</w:t>
      </w:r>
      <w:proofErr w:type="spellStart"/>
      <w:r w:rsidRPr="006A376B">
        <w:t>interdiscours</w:t>
      </w:r>
      <w:proofErr w:type="spellEnd"/>
      <w:r w:rsidRPr="006A376B">
        <w:t xml:space="preserve">, dans lequel différents discours </w:t>
      </w:r>
      <w:r>
        <w:t>se croisent</w:t>
      </w:r>
      <w:r w:rsidRPr="006A376B">
        <w:t xml:space="preserve"> et s’emboîtent </w:t>
      </w:r>
      <w:r>
        <w:fldChar w:fldCharType="begin"/>
      </w:r>
      <w:r>
        <w:instrText xml:space="preserve"> ADDIN EN.CITE &lt;EndNote&gt;&lt;Cite&gt;&lt;Author&gt;Maingueneau&lt;/Author&gt;&lt;Year&gt;1991&lt;/Year&gt;&lt;RecNum&gt;1564&lt;/RecNum&gt;&lt;DisplayText&gt;(Maingueneau 1991)&lt;/DisplayText&gt;&lt;record&gt;&lt;rec-number&gt;1564&lt;/rec-number&gt;&lt;foreign-keys&gt;&lt;key app="EN" db-id="xex2xftfwapr9fevte1xdv5nadff9da5rfvr" timestamp="0"&gt;1564&lt;/key&gt;&lt;key app="ENWeb" db-id="TQQOLwrtqggAACTbTtM"&gt;1426&lt;/key&gt;&lt;/foreign-keys&gt;&lt;ref-type name="Book"&gt;6&lt;/ref-type&gt;&lt;contributors&gt;&lt;authors&gt;&lt;author&gt;Maingueneau, Dominique&lt;/author&gt;&lt;/authors&gt;&lt;/contributors&gt;&lt;titles&gt;&lt;title&gt;L’Analyse du discours. Introduction aux lectures de l’archive&lt;/title&gt;&lt;/titles&gt;&lt;dates&gt;&lt;year&gt;1991&lt;/year&gt;&lt;/dates&gt;&lt;pub-location&gt;Paris&lt;/pub-location&gt;&lt;publisher&gt;Hachette&lt;/publisher&gt;&lt;urls&gt;&lt;/urls&gt;&lt;/record&gt;&lt;/Cite&gt;&lt;/EndNote&gt;</w:instrText>
      </w:r>
      <w:r>
        <w:fldChar w:fldCharType="separate"/>
      </w:r>
      <w:r>
        <w:rPr>
          <w:noProof/>
        </w:rPr>
        <w:t>(Maingueneau 1991)</w:t>
      </w:r>
      <w:r>
        <w:fldChar w:fldCharType="end"/>
      </w:r>
      <w:r w:rsidRPr="006A376B">
        <w:t xml:space="preserve">. Le discours négocie </w:t>
      </w:r>
      <w:r>
        <w:t xml:space="preserve">ainsi </w:t>
      </w:r>
      <w:r w:rsidRPr="006A376B">
        <w:t xml:space="preserve">bien plutôt des frontières </w:t>
      </w:r>
      <w:proofErr w:type="spellStart"/>
      <w:r w:rsidRPr="006A376B">
        <w:t>interdiscursives</w:t>
      </w:r>
      <w:proofErr w:type="spellEnd"/>
      <w:r w:rsidRPr="006A376B">
        <w:t>, par exemple entre le discours de la philosophie déconstructi</w:t>
      </w:r>
      <w:r>
        <w:t>viste</w:t>
      </w:r>
      <w:r w:rsidRPr="006A376B">
        <w:t xml:space="preserve"> et celui de</w:t>
      </w:r>
      <w:r>
        <w:t xml:space="preserve"> la métaphysique de la présence</w:t>
      </w:r>
      <w:r w:rsidRPr="006A376B">
        <w:t>. La question par conséquent n</w:t>
      </w:r>
      <w:r>
        <w:t>’est pas de savoir ce que</w:t>
      </w:r>
      <w:r w:rsidRPr="006A376B">
        <w:t xml:space="preserve"> le texte</w:t>
      </w:r>
      <w:r>
        <w:t xml:space="preserve"> veut dire ou signifie</w:t>
      </w:r>
      <w:r w:rsidRPr="006A376B">
        <w:t xml:space="preserve"> ; la question est </w:t>
      </w:r>
      <w:r>
        <w:t xml:space="preserve">de savoir </w:t>
      </w:r>
      <w:r w:rsidRPr="006A376B">
        <w:t xml:space="preserve">quels entrelacs et associations </w:t>
      </w:r>
      <w:proofErr w:type="spellStart"/>
      <w:r w:rsidRPr="006A376B">
        <w:t>rhizomatiques</w:t>
      </w:r>
      <w:proofErr w:type="spellEnd"/>
      <w:r w:rsidRPr="006A376B">
        <w:t xml:space="preserve"> il rend possibles</w:t>
      </w:r>
      <w:r>
        <w:t>,</w:t>
      </w:r>
      <w:r w:rsidRPr="006A376B">
        <w:t xml:space="preserve"> </w:t>
      </w:r>
      <w:r>
        <w:t>permettant ainsi au</w:t>
      </w:r>
      <w:r w:rsidRPr="006A376B">
        <w:t xml:space="preserve"> lecteur </w:t>
      </w:r>
      <w:r>
        <w:t>de</w:t>
      </w:r>
      <w:r w:rsidRPr="006A376B">
        <w:t xml:space="preserve"> </w:t>
      </w:r>
      <w:r>
        <w:t>se déplacer</w:t>
      </w:r>
      <w:r w:rsidRPr="006A376B">
        <w:t xml:space="preserve"> dans l’espace de savoir ramifié de la théorie. </w:t>
      </w:r>
      <w:r>
        <w:t xml:space="preserve">Un phénomène comme la Théorie des années 60 et 70 </w:t>
      </w:r>
      <w:r w:rsidRPr="006A376B">
        <w:t>ne</w:t>
      </w:r>
      <w:r>
        <w:t xml:space="preserve"> </w:t>
      </w:r>
      <w:r w:rsidRPr="006A376B">
        <w:t xml:space="preserve">se </w:t>
      </w:r>
      <w:r>
        <w:t>déploie</w:t>
      </w:r>
      <w:r w:rsidRPr="006A376B">
        <w:t xml:space="preserve"> </w:t>
      </w:r>
      <w:r>
        <w:t xml:space="preserve">pas </w:t>
      </w:r>
      <w:r w:rsidRPr="006A376B">
        <w:t>seulement sur</w:t>
      </w:r>
      <w:r>
        <w:t xml:space="preserve"> les avant-scènes contextuelles ;</w:t>
      </w:r>
      <w:r w:rsidRPr="006A376B">
        <w:t xml:space="preserve"> </w:t>
      </w:r>
      <w:r>
        <w:t>elle implique toujours une série d’arrière-</w:t>
      </w:r>
      <w:r w:rsidRPr="006A376B">
        <w:t xml:space="preserve">plans institutionnels, </w:t>
      </w:r>
      <w:r w:rsidRPr="00D42A38">
        <w:t xml:space="preserve">à l’aide desquels </w:t>
      </w:r>
      <w:r w:rsidRPr="006A376B">
        <w:t>les lecteurs essaient de comprendre le sens de ce qui est dit à travers la mise en relation des textes et des contextes</w:t>
      </w:r>
      <w:r>
        <w:t xml:space="preserve"> </w:t>
      </w:r>
      <w:r>
        <w:fldChar w:fldCharType="begin"/>
      </w:r>
      <w:r>
        <w:instrText xml:space="preserve"> ADDIN EN.CITE &lt;EndNote&gt;&lt;Cite&gt;&lt;Author&gt;Angermuller&lt;/Author&gt;&lt;Year&gt;2013&lt;/Year&gt;&lt;RecNum&gt;5111&lt;/RecNum&gt;&lt;DisplayText&gt;(Angermuller 2013b)&lt;/DisplayText&gt;&lt;record&gt;&lt;rec-number&gt;5111&lt;/rec-number&gt;&lt;foreign-keys&gt;&lt;key app="EN" db-id="xex2xftfwapr9fevte1xdv5nadff9da5rfvr" timestamp="1333237739"&gt;5111&lt;/key&gt;&lt;/foreign-keys&gt;&lt;ref-type name="Book"&gt;6&lt;/ref-type&gt;&lt;contributors&gt;&lt;authors&gt;&lt;author&gt;Angermuller, Johannes&lt;/author&gt;&lt;/authors&gt;&lt;/contributors&gt;&lt;titles&gt;&lt;title&gt;Le Champ de la Théorie. Essor et déclin du structuralisme en France&lt;/title&gt;&lt;/titles&gt;&lt;dates&gt;&lt;year&gt;2013&lt;/year&gt;&lt;/dates&gt;&lt;pub-location&gt;Paris&lt;/pub-location&gt;&lt;publisher&gt;Hermann&lt;/publisher&gt;&lt;urls&gt;&lt;/urls&gt;&lt;/record&gt;&lt;/Cite&gt;&lt;/EndNote&gt;</w:instrText>
      </w:r>
      <w:r>
        <w:fldChar w:fldCharType="separate"/>
      </w:r>
      <w:r>
        <w:rPr>
          <w:noProof/>
        </w:rPr>
        <w:t>(Angermuller 2013b)</w:t>
      </w:r>
      <w:r>
        <w:fldChar w:fldCharType="end"/>
      </w:r>
      <w:r w:rsidRPr="006A376B">
        <w:t>.</w:t>
      </w:r>
    </w:p>
    <w:p w14:paraId="0BA7C9C0" w14:textId="77777777" w:rsidR="0055302E" w:rsidRPr="0035606E" w:rsidRDefault="0055302E" w:rsidP="00D75801">
      <w:pPr>
        <w:ind w:firstLine="708"/>
        <w:jc w:val="both"/>
        <w:rPr>
          <w:i/>
        </w:rPr>
      </w:pPr>
      <w:r w:rsidRPr="006A376B">
        <w:t xml:space="preserve"> Les relations sociales que les producte</w:t>
      </w:r>
      <w:r>
        <w:t>urs entretiennent dans le champ</w:t>
      </w:r>
      <w:r w:rsidRPr="006A376B">
        <w:t xml:space="preserve"> </w:t>
      </w:r>
      <w:r>
        <w:t>transparaissent</w:t>
      </w:r>
      <w:r w:rsidRPr="006A376B">
        <w:t xml:space="preserve"> dans des discours aussi saturés conceptuellement que ceux de la philosophie, et ce jusque dans leurs plus petite</w:t>
      </w:r>
      <w:r>
        <w:t xml:space="preserve">s ramifications. </w:t>
      </w:r>
      <w:r w:rsidRPr="006A376B">
        <w:t xml:space="preserve">Car même les textes philosophiques, qui prétendent ne traiter que des questions philosophiques, doivent s’appuyer sur des sources qui ne sont pas </w:t>
      </w:r>
      <w:r>
        <w:t>toujours</w:t>
      </w:r>
      <w:r w:rsidRPr="006A376B">
        <w:t xml:space="preserve"> d</w:t>
      </w:r>
      <w:r>
        <w:t>e nature purement philosophique</w:t>
      </w:r>
      <w:r w:rsidRPr="006A376B">
        <w:t xml:space="preserve">. Le responsable en est le locuteur, </w:t>
      </w:r>
      <w:r>
        <w:t>à</w:t>
      </w:r>
      <w:r w:rsidRPr="006A376B">
        <w:t xml:space="preserve"> qui le lecteur a toujours affaire lorsqu’il </w:t>
      </w:r>
      <w:r>
        <w:t>identifie</w:t>
      </w:r>
      <w:r w:rsidRPr="006A376B">
        <w:t xml:space="preserve"> une suite de</w:t>
      </w:r>
      <w:r>
        <w:t xml:space="preserve"> signes comme formant un énoncé</w:t>
      </w:r>
      <w:r w:rsidRPr="006A376B">
        <w:t>. Le locuteur est le metteur en scène de l’énonc</w:t>
      </w:r>
      <w:r>
        <w:t>é, l’instance de responsabilité</w:t>
      </w:r>
      <w:r w:rsidRPr="006A376B">
        <w:t xml:space="preserve"> qui </w:t>
      </w:r>
      <w:r>
        <w:t>assume</w:t>
      </w:r>
      <w:r w:rsidRPr="006A376B">
        <w:t xml:space="preserve"> tout ce qui n’est pas rejeté. Le problème du locuteur est qu’il ne prend pas lui-même la parole ; il est renvoyé à ses énonciateurs</w:t>
      </w:r>
      <w:r>
        <w:t>,</w:t>
      </w:r>
      <w:r w:rsidRPr="006A376B">
        <w:t xml:space="preserve"> auxquels il distribue les contenus propositionnels de l’énoncé selon le script défini par les </w:t>
      </w:r>
      <w:r>
        <w:t>marques</w:t>
      </w:r>
      <w:r w:rsidRPr="006A376B">
        <w:t xml:space="preserve"> </w:t>
      </w:r>
      <w:r>
        <w:t>énonciatives</w:t>
      </w:r>
      <w:r w:rsidRPr="006A376B">
        <w:t xml:space="preserve">. </w:t>
      </w:r>
      <w:r>
        <w:t>À</w:t>
      </w:r>
      <w:r w:rsidRPr="006A376B">
        <w:t xml:space="preserve"> travers </w:t>
      </w:r>
      <w:r>
        <w:t>c</w:t>
      </w:r>
      <w:r w:rsidRPr="006A376B">
        <w:t xml:space="preserve">es </w:t>
      </w:r>
      <w:r>
        <w:t xml:space="preserve">marques </w:t>
      </w:r>
      <w:r w:rsidRPr="006A376B">
        <w:t xml:space="preserve">– </w:t>
      </w:r>
      <w:r w:rsidRPr="006A376B">
        <w:rPr>
          <w:i/>
        </w:rPr>
        <w:t>bien</w:t>
      </w:r>
      <w:r w:rsidRPr="006A376B">
        <w:t xml:space="preserve">, </w:t>
      </w:r>
      <w:r w:rsidRPr="006A376B">
        <w:rPr>
          <w:i/>
        </w:rPr>
        <w:t xml:space="preserve">ne... pas </w:t>
      </w:r>
      <w:r w:rsidRPr="006A376B">
        <w:t>ou les guillemets</w:t>
      </w:r>
      <w:r>
        <w:t xml:space="preserve"> </w:t>
      </w:r>
      <w:r w:rsidRPr="006A376B">
        <w:t>– le locuteur signale au lecteur sa position par rapport aux énonciateurs qui donnent leur spectacle polyph</w:t>
      </w:r>
      <w:r>
        <w:t>onique sur la scène de l’énoncé</w:t>
      </w:r>
      <w:r w:rsidRPr="006A376B">
        <w:t xml:space="preserve">. </w:t>
      </w:r>
    </w:p>
    <w:p w14:paraId="3EF37216" w14:textId="77777777" w:rsidR="0055302E" w:rsidRPr="00A31B9E" w:rsidRDefault="0055302E" w:rsidP="00D75801">
      <w:pPr>
        <w:ind w:firstLine="708"/>
        <w:jc w:val="both"/>
      </w:pPr>
      <w:r w:rsidRPr="006A376B">
        <w:t xml:space="preserve">Avant </w:t>
      </w:r>
      <w:r>
        <w:t>de chercher</w:t>
      </w:r>
      <w:r w:rsidRPr="006A376B">
        <w:t xml:space="preserve"> à comprendre le co</w:t>
      </w:r>
      <w:r>
        <w:t>ntenu des concepts de Derrida, le lecteur</w:t>
      </w:r>
      <w:r w:rsidRPr="006A376B">
        <w:t xml:space="preserve"> doit d’abord </w:t>
      </w:r>
      <w:r>
        <w:t>décoder</w:t>
      </w:r>
      <w:r w:rsidRPr="006A376B">
        <w:t xml:space="preserve"> ces indications, à l’aide desquelles il va pouvoir attribuer ce qui est dit à différentes instances communicati</w:t>
      </w:r>
      <w:r>
        <w:t>onnelles, le locuteur et l’allocutaire</w:t>
      </w:r>
      <w:r w:rsidRPr="006A376B">
        <w:t xml:space="preserve">. Avant que le lecteur puisse se faire une idée de ce qu’est la </w:t>
      </w:r>
      <w:r>
        <w:t>« </w:t>
      </w:r>
      <w:r w:rsidRPr="006A376B">
        <w:t>présence à soi</w:t>
      </w:r>
      <w:r>
        <w:t> »</w:t>
      </w:r>
      <w:r w:rsidRPr="006A376B">
        <w:t xml:space="preserve"> ou le </w:t>
      </w:r>
      <w:r>
        <w:t>« </w:t>
      </w:r>
      <w:r w:rsidRPr="006A376B">
        <w:t>maintenant</w:t>
      </w:r>
      <w:r>
        <w:t> »</w:t>
      </w:r>
      <w:r w:rsidRPr="006A376B">
        <w:t xml:space="preserve">, il doit d’abord construire la situation communicationnelle du locuteur et de son vis-à-vis. Avant </w:t>
      </w:r>
      <w:r>
        <w:t>d’avoir</w:t>
      </w:r>
      <w:r w:rsidRPr="006A376B">
        <w:t xml:space="preserve"> l’illusion </w:t>
      </w:r>
      <w:r>
        <w:t>de comprendre</w:t>
      </w:r>
      <w:r w:rsidRPr="006A376B">
        <w:t xml:space="preserve"> ne ser</w:t>
      </w:r>
      <w:r>
        <w:t xml:space="preserve">ait-ce qu’un tout petit peu, le lecteur </w:t>
      </w:r>
      <w:r w:rsidRPr="006A376B">
        <w:t>doit classer les énonciateurs du discours, les différencier, les mettre en relation. Le lecteur effectue donc toute</w:t>
      </w:r>
      <w:r>
        <w:t>s</w:t>
      </w:r>
      <w:r w:rsidRPr="006A376B">
        <w:t xml:space="preserve"> sortes d’opérations éminemment sociales, </w:t>
      </w:r>
      <w:r>
        <w:t>grâce auxquelles</w:t>
      </w:r>
      <w:r w:rsidRPr="006A376B">
        <w:t xml:space="preserve"> il essaie de construire le contexte communicationnel dans lequel sont énoncés les contenus philosophiques. Cela </w:t>
      </w:r>
      <w:r>
        <w:t>implique aussi</w:t>
      </w:r>
      <w:r w:rsidRPr="006A376B">
        <w:t xml:space="preserve"> de </w:t>
      </w:r>
      <w:r>
        <w:t>se demander</w:t>
      </w:r>
      <w:r w:rsidRPr="006A376B">
        <w:t xml:space="preserve"> à quelle</w:t>
      </w:r>
      <w:r>
        <w:t>s</w:t>
      </w:r>
      <w:r w:rsidRPr="006A376B">
        <w:t xml:space="preserve"> personnes</w:t>
      </w:r>
      <w:r>
        <w:t xml:space="preserve"> </w:t>
      </w:r>
      <w:r w:rsidRPr="006A376B">
        <w:t>« </w:t>
      </w:r>
      <w:r>
        <w:t>réelles</w:t>
      </w:r>
      <w:r w:rsidRPr="006A376B">
        <w:t> » correspondent le locuteur et l’allocut</w:t>
      </w:r>
      <w:r>
        <w:t>ai</w:t>
      </w:r>
      <w:r w:rsidRPr="006A376B">
        <w:t>r</w:t>
      </w:r>
      <w:r>
        <w:t>e</w:t>
      </w:r>
      <w:r w:rsidRPr="006A376B">
        <w:t xml:space="preserve">, quel nom ils portent dans le monde social. Dans des discours </w:t>
      </w:r>
      <w:proofErr w:type="spellStart"/>
      <w:r w:rsidRPr="006A376B">
        <w:t>auctori</w:t>
      </w:r>
      <w:r>
        <w:t>aux</w:t>
      </w:r>
      <w:proofErr w:type="spellEnd"/>
      <w:r w:rsidRPr="006A376B">
        <w:t xml:space="preserve"> comme ceux de la philosophie, le locuteur porte généralement le nom de la personn</w:t>
      </w:r>
      <w:r>
        <w:t>e figurant sur la couverture ; a</w:t>
      </w:r>
      <w:r w:rsidRPr="006A376B">
        <w:t xml:space="preserve">insi les textes théoriques convoquent-ils constamment le savoir </w:t>
      </w:r>
      <w:r>
        <w:t>des</w:t>
      </w:r>
      <w:r w:rsidRPr="006A376B">
        <w:t xml:space="preserve"> lecteurs concernant leurs auteurs, savoir conceptuel aussi bien que non conceptuel. Le savoir concernant leurs auteurs</w:t>
      </w:r>
      <w:r>
        <w:t xml:space="preserve">, </w:t>
      </w:r>
      <w:r w:rsidRPr="006A376B">
        <w:t xml:space="preserve">que les textes activent </w:t>
      </w:r>
      <w:r>
        <w:t>en permanence chez le lecteur,</w:t>
      </w:r>
      <w:r w:rsidRPr="006A376B">
        <w:t xml:space="preserve"> inclut les divers positionnements </w:t>
      </w:r>
      <w:r>
        <w:t xml:space="preserve">et démarcations </w:t>
      </w:r>
      <w:r w:rsidRPr="006A376B">
        <w:t xml:space="preserve">théoriques que l’auteur a </w:t>
      </w:r>
      <w:r>
        <w:t>opérés</w:t>
      </w:r>
      <w:r w:rsidRPr="006A376B">
        <w:t xml:space="preserve"> dans d’autres textes, par</w:t>
      </w:r>
      <w:r>
        <w:t xml:space="preserve"> exemple la critique </w:t>
      </w:r>
      <w:r w:rsidRPr="006A376B">
        <w:t>de Lévi-Strauss</w:t>
      </w:r>
      <w:r>
        <w:t xml:space="preserve"> par Derrida</w:t>
      </w:r>
      <w:r w:rsidRPr="006A376B">
        <w:t xml:space="preserve"> </w:t>
      </w:r>
      <w:r>
        <w:fldChar w:fldCharType="begin"/>
      </w:r>
      <w:r>
        <w:instrText xml:space="preserve"> ADDIN EN.CITE &lt;EndNote&gt;&lt;Cite&gt;&lt;Author&gt;Derrida&lt;/Author&gt;&lt;Year&gt;1967&lt;/Year&gt;&lt;RecNum&gt;1181&lt;/RecNum&gt;&lt;DisplayText&gt;(Derrida 1967b)&lt;/DisplayText&gt;&lt;record&gt;&lt;rec-number&gt;1181&lt;/rec-number&gt;&lt;foreign-keys&gt;&lt;key app="EN" db-id="xex2xftfwapr9fevte1xdv5nadff9da5rfvr" timestamp="0"&gt;1181&lt;/key&gt;&lt;key app="ENWeb" db-id="TQQOLwrtqggAACTbTtM"&gt;1081&lt;/key&gt;&lt;/foreign-keys&gt;&lt;ref-type name="Book"&gt;6&lt;/ref-type&gt;&lt;contributors&gt;&lt;authors&gt;&lt;author&gt;Jacques Derrida&lt;/author&gt;&lt;/authors&gt;&lt;/contributors&gt;&lt;titles&gt;&lt;title&gt;L’Écriture et la différence&lt;/title&gt;&lt;alt-title&gt;ÉeD&lt;/alt-title&gt;&lt;short-title&gt;Écriture&lt;/short-title&gt;&lt;/titles&gt;&lt;dates&gt;&lt;year&gt;1967&lt;/year&gt;&lt;/dates&gt;&lt;pub-location&gt;Paris&lt;/pub-location&gt;&lt;publisher&gt;Le Seuil&lt;/publisher&gt;&lt;urls&gt;&lt;/urls&gt;&lt;custom1&gt;&lt;style face="italic" font="default" size="100%"&gt;Of grammatology&lt;/style&gt;&lt;style face="normal" font="default" size="100%"&gt;. Baltimore: Johns Hopkins University Press, 1976&lt;/style&gt;&lt;/custom1&gt;&lt;custom3&gt;&lt;style face="italic" font="default" size="100%"&gt;Die Schrift und die Differenz&lt;/style&gt;&lt;style face="normal" font="default" size="100%"&gt;. Frankfurt am Main: Suhrkamp, 1989&lt;/style&gt;&lt;/custom3&gt;&lt;/record&gt;&lt;/Cite&gt;&lt;/EndNote&gt;</w:instrText>
      </w:r>
      <w:r>
        <w:fldChar w:fldCharType="separate"/>
      </w:r>
      <w:r>
        <w:rPr>
          <w:noProof/>
        </w:rPr>
        <w:t>(Derrida 1967b)</w:t>
      </w:r>
      <w:r>
        <w:fldChar w:fldCharType="end"/>
      </w:r>
      <w:r w:rsidRPr="006A376B">
        <w:t>, qui l’a fait connaître hors de France en tant que t</w:t>
      </w:r>
      <w:r>
        <w:t>héoricien du poststructuralisme</w:t>
      </w:r>
      <w:r w:rsidRPr="006A376B">
        <w:t>. Ce savoir peut toutefois aussi faire l’objet de qu</w:t>
      </w:r>
      <w:r>
        <w:t>estions entièrement profanes : D</w:t>
      </w:r>
      <w:r w:rsidRPr="006A376B">
        <w:t>’où vient l’auteur ? Quand a-t-il vécu</w:t>
      </w:r>
      <w:r>
        <w:t> ?</w:t>
      </w:r>
      <w:r w:rsidRPr="006A376B">
        <w:t xml:space="preserve"> Qui étaient ses interlocuteurs ? Même ces questions, qui ne sont pas explicitement abordées dans les textes philosophiques, font partie du savoir utile à la compréhension</w:t>
      </w:r>
      <w:r>
        <w:t xml:space="preserve"> et</w:t>
      </w:r>
      <w:r w:rsidRPr="006A376B">
        <w:t xml:space="preserve"> auquel le lecteur, dans la mesure où il y a accès, se réfère. </w:t>
      </w:r>
    </w:p>
    <w:p w14:paraId="1C6C9DB2" w14:textId="77777777" w:rsidR="0055302E" w:rsidRPr="00A66961" w:rsidRDefault="0055302E" w:rsidP="00D75801">
      <w:pPr>
        <w:ind w:firstLine="708"/>
        <w:jc w:val="both"/>
      </w:pPr>
      <w:r w:rsidRPr="006A376B">
        <w:t xml:space="preserve">Et ainsi nous en revenons à la question de savoir dans quelle mesure on peut assigner le </w:t>
      </w:r>
      <w:proofErr w:type="spellStart"/>
      <w:r w:rsidRPr="006A376B">
        <w:t>déconstructi</w:t>
      </w:r>
      <w:r>
        <w:t>visme</w:t>
      </w:r>
      <w:proofErr w:type="spellEnd"/>
      <w:r w:rsidRPr="006A376B">
        <w:t xml:space="preserve"> à un sujet-auteur (Derrida). </w:t>
      </w:r>
      <w:r>
        <w:t>De</w:t>
      </w:r>
      <w:r w:rsidRPr="006A376B">
        <w:t xml:space="preserve"> fait, les textes </w:t>
      </w:r>
      <w:r>
        <w:t>déconstructiviste</w:t>
      </w:r>
      <w:r w:rsidRPr="006A376B">
        <w:t xml:space="preserve">s de Derrida posent eux aussi la question de la subjectivité ; finalement, le lecteur doit découvrir </w:t>
      </w:r>
      <w:r w:rsidRPr="006D257A">
        <w:lastRenderedPageBreak/>
        <w:t>doit distinguer les moments où c’est Derrida qui parle de ceux où Husserl parle. Ils ne peuvent</w:t>
      </w:r>
      <w:r w:rsidRPr="006A376B">
        <w:t xml:space="preserve"> faire autrement, car ils opèrent avec des énoncés qui renvoient aux énonciateurs dans le discours</w:t>
      </w:r>
      <w:r>
        <w:t> </w:t>
      </w:r>
      <w:r w:rsidRPr="006A376B">
        <w:t xml:space="preserve">: dans un texte signé par </w:t>
      </w:r>
      <w:r>
        <w:t>« </w:t>
      </w:r>
      <w:r w:rsidRPr="006A376B">
        <w:t>Derrida</w:t>
      </w:r>
      <w:r>
        <w:t> »</w:t>
      </w:r>
      <w:r w:rsidRPr="006A376B">
        <w:t xml:space="preserve"> (en tant qu’auteur) comme </w:t>
      </w:r>
      <w:r w:rsidRPr="006A376B">
        <w:rPr>
          <w:i/>
        </w:rPr>
        <w:t xml:space="preserve">La Voix et le </w:t>
      </w:r>
      <w:r>
        <w:rPr>
          <w:i/>
        </w:rPr>
        <w:t>P</w:t>
      </w:r>
      <w:r w:rsidRPr="006A376B">
        <w:rPr>
          <w:i/>
        </w:rPr>
        <w:t>hénomène</w:t>
      </w:r>
      <w:r>
        <w:rPr>
          <w:i/>
        </w:rPr>
        <w:t>,</w:t>
      </w:r>
      <w:r w:rsidRPr="006A376B">
        <w:rPr>
          <w:i/>
        </w:rPr>
        <w:t xml:space="preserve"> </w:t>
      </w:r>
      <w:r w:rsidRPr="006A376B">
        <w:t xml:space="preserve">c’est toujours </w:t>
      </w:r>
      <w:r>
        <w:t>« </w:t>
      </w:r>
      <w:r w:rsidRPr="006A376B">
        <w:t>Derrida</w:t>
      </w:r>
      <w:r>
        <w:t> »</w:t>
      </w:r>
      <w:r w:rsidRPr="006A376B">
        <w:t xml:space="preserve"> qui parle (en tant que locuteur). C’est </w:t>
      </w:r>
      <w:r>
        <w:t>ce Derrida-énonciateur qui « adhère » à tout ce qui est dit</w:t>
      </w:r>
      <w:r w:rsidRPr="00A16481">
        <w:t xml:space="preserve">. </w:t>
      </w:r>
      <w:r w:rsidRPr="006A376B">
        <w:t>S’agit-il d’une rechute dans la métaphysique du logoc</w:t>
      </w:r>
      <w:r>
        <w:t>entrisme critiquée par Derrida </w:t>
      </w:r>
      <w:r w:rsidRPr="006A376B">
        <w:t>? Nullement, car « Derrida » et les autres énonciateurs auxquels vous avez affaire lo</w:t>
      </w:r>
      <w:r>
        <w:t xml:space="preserve">rsque vous lisez ses textes sont </w:t>
      </w:r>
      <w:r>
        <w:rPr>
          <w:i/>
        </w:rPr>
        <w:t>votre</w:t>
      </w:r>
      <w:r>
        <w:t xml:space="preserve"> construction</w:t>
      </w:r>
      <w:r w:rsidRPr="00A16481">
        <w:t xml:space="preserve">. </w:t>
      </w:r>
      <w:r w:rsidRPr="006A376B">
        <w:t>Le texte n</w:t>
      </w:r>
      <w:r>
        <w:t xml:space="preserve">e vous </w:t>
      </w:r>
      <w:r w:rsidRPr="00A16481">
        <w:rPr>
          <w:i/>
        </w:rPr>
        <w:t>dit</w:t>
      </w:r>
      <w:r>
        <w:t xml:space="preserve"> pas, il vous </w:t>
      </w:r>
      <w:r w:rsidRPr="00D57DC2">
        <w:rPr>
          <w:i/>
        </w:rPr>
        <w:t>montre</w:t>
      </w:r>
      <w:r>
        <w:t xml:space="preserve"> qui parle</w:t>
      </w:r>
      <w:r w:rsidRPr="006A376B">
        <w:t>. Avec ses indices de la polyphonie</w:t>
      </w:r>
      <w:r>
        <w:t>,</w:t>
      </w:r>
      <w:r w:rsidRPr="006A376B">
        <w:t xml:space="preserve"> il vous envoie en même temps à la recherche des énonciateurs et des sujets dont vous avez besoin</w:t>
      </w:r>
      <w:r>
        <w:t xml:space="preserve"> pour comprendre ce qui est dit</w:t>
      </w:r>
      <w:r w:rsidRPr="006A376B">
        <w:t xml:space="preserve">. C’est </w:t>
      </w:r>
      <w:r w:rsidRPr="00A16481">
        <w:rPr>
          <w:i/>
        </w:rPr>
        <w:t>votre</w:t>
      </w:r>
      <w:r w:rsidRPr="006A376B">
        <w:t xml:space="preserve"> tâche de comprendre ce que veut dire l’auteur !</w:t>
      </w:r>
      <w:r>
        <w:t xml:space="preserve"> </w:t>
      </w:r>
      <w:r w:rsidRPr="00A16481">
        <w:rPr>
          <w:i/>
        </w:rPr>
        <w:t>Vous</w:t>
      </w:r>
      <w:r>
        <w:t xml:space="preserve"> construisez ce</w:t>
      </w:r>
      <w:r w:rsidRPr="006A376B">
        <w:t xml:space="preserve"> que disent </w:t>
      </w:r>
      <w:r>
        <w:t>« </w:t>
      </w:r>
      <w:r w:rsidRPr="006A376B">
        <w:t>Jacq</w:t>
      </w:r>
      <w:r>
        <w:t>ues Derrida », « Edmund Husserl » ou « Johannes Angermuller »</w:t>
      </w:r>
      <w:r w:rsidRPr="006A376B">
        <w:t>. Et cette tâche, vous l’accomplissez dans la lecture, en tant que vous mettez en relation les énonciateurs (par exemple</w:t>
      </w:r>
      <w:r>
        <w:t xml:space="preserve"> </w:t>
      </w:r>
      <w:r w:rsidRPr="006A376B">
        <w:t xml:space="preserve">« Derrida en tant que critique de Husserl »), que vous leur attribuez des qualités et des étiquettes (par exemple « Derrida en tant que </w:t>
      </w:r>
      <w:r>
        <w:t xml:space="preserve">déconstructiviste </w:t>
      </w:r>
      <w:r w:rsidRPr="006A376B">
        <w:t>contre Husserl en tant que phénoménologue</w:t>
      </w:r>
      <w:r>
        <w:t> </w:t>
      </w:r>
      <w:r w:rsidRPr="006A376B">
        <w:t>»</w:t>
      </w:r>
      <w:r>
        <w:t xml:space="preserve">) </w:t>
      </w:r>
      <w:r w:rsidRPr="006A376B">
        <w:t>et que vous les replacez dans leurs contextes (Derrida en tant que « philosophe français du dernier tiers du 20</w:t>
      </w:r>
      <w:r w:rsidRPr="006A376B">
        <w:rPr>
          <w:vertAlign w:val="superscript"/>
        </w:rPr>
        <w:t>e</w:t>
      </w:r>
      <w:r>
        <w:t xml:space="preserve"> siècle »</w:t>
      </w:r>
      <w:r w:rsidRPr="006A376B">
        <w:t xml:space="preserve">, Husserl en tant que </w:t>
      </w:r>
      <w:r>
        <w:t>« </w:t>
      </w:r>
      <w:r w:rsidRPr="006A376B">
        <w:t>philosophe allemand de la première moitié du 20</w:t>
      </w:r>
      <w:r w:rsidRPr="006A376B">
        <w:rPr>
          <w:vertAlign w:val="superscript"/>
        </w:rPr>
        <w:t>e</w:t>
      </w:r>
      <w:r w:rsidRPr="006A376B">
        <w:t xml:space="preserve"> siècle</w:t>
      </w:r>
      <w:r>
        <w:t> »</w:t>
      </w:r>
      <w:r w:rsidRPr="006A376B">
        <w:t>). La construction de ces positions d’énoncia</w:t>
      </w:r>
      <w:r>
        <w:t>tion n’est pas une chose banale ;</w:t>
      </w:r>
      <w:r w:rsidRPr="006A376B">
        <w:t xml:space="preserve"> </w:t>
      </w:r>
      <w:r>
        <w:t>elle</w:t>
      </w:r>
      <w:r w:rsidRPr="006A376B">
        <w:t xml:space="preserve"> exige une pratique créative de la contextualisation, qui conduit à des déplacements et des fixations constantes du sens réalisé. Et n’est-ce pas au fond une idée qui </w:t>
      </w:r>
      <w:r>
        <w:t xml:space="preserve">peut trouver place dans le </w:t>
      </w:r>
      <w:proofErr w:type="spellStart"/>
      <w:r>
        <w:t>déconstructiv</w:t>
      </w:r>
      <w:r w:rsidRPr="006A376B">
        <w:t>isme</w:t>
      </w:r>
      <w:proofErr w:type="spellEnd"/>
      <w:r w:rsidRPr="006A376B">
        <w:t xml:space="preserve"> ? </w:t>
      </w:r>
    </w:p>
    <w:p w14:paraId="0DEA7821" w14:textId="77777777" w:rsidR="0055302E" w:rsidRDefault="0055302E" w:rsidP="00D75801">
      <w:pPr>
        <w:jc w:val="both"/>
      </w:pPr>
    </w:p>
    <w:p w14:paraId="770F41E2" w14:textId="77777777" w:rsidR="0055302E" w:rsidRDefault="0055302E" w:rsidP="00D75801">
      <w:pPr>
        <w:jc w:val="right"/>
        <w:rPr>
          <w:i/>
        </w:rPr>
      </w:pPr>
      <w:r w:rsidRPr="00D7413C">
        <w:rPr>
          <w:i/>
        </w:rPr>
        <w:t xml:space="preserve">Traduction Rosine </w:t>
      </w:r>
      <w:proofErr w:type="spellStart"/>
      <w:r w:rsidRPr="00D7413C">
        <w:rPr>
          <w:i/>
        </w:rPr>
        <w:t>Inspektor</w:t>
      </w:r>
      <w:proofErr w:type="spellEnd"/>
    </w:p>
    <w:p w14:paraId="1F5F6846" w14:textId="77777777" w:rsidR="0055302E" w:rsidRPr="00A66961" w:rsidRDefault="0055302E" w:rsidP="00D75801">
      <w:pPr>
        <w:jc w:val="both"/>
      </w:pPr>
    </w:p>
    <w:p w14:paraId="2A3011EF" w14:textId="77777777" w:rsidR="0055302E" w:rsidRDefault="0055302E" w:rsidP="00097774">
      <w:pPr>
        <w:jc w:val="center"/>
      </w:pPr>
      <w:r w:rsidRPr="006A376B">
        <w:t>R</w:t>
      </w:r>
      <w:r>
        <w:t>Ė</w:t>
      </w:r>
      <w:r w:rsidRPr="006A376B">
        <w:t>F</w:t>
      </w:r>
      <w:r>
        <w:t>Ė</w:t>
      </w:r>
      <w:r w:rsidRPr="006A376B">
        <w:t>RENCES</w:t>
      </w:r>
      <w:r>
        <w:t xml:space="preserve"> BIBLIOGRAPHIQUES</w:t>
      </w:r>
    </w:p>
    <w:p w14:paraId="112CC2C3" w14:textId="77777777" w:rsidR="0055302E" w:rsidRDefault="0055302E" w:rsidP="00097774">
      <w:pPr>
        <w:pStyle w:val="EndNoteBibliography"/>
        <w:spacing w:after="0"/>
        <w:ind w:hanging="11"/>
        <w:rPr>
          <w:noProof/>
          <w:lang w:val="fr-FR"/>
        </w:rPr>
      </w:pPr>
      <w:r w:rsidRPr="005D3B0D">
        <w:rPr>
          <w:lang w:val="fr-FR"/>
        </w:rPr>
        <w:fldChar w:fldCharType="begin"/>
      </w:r>
      <w:r w:rsidRPr="005D3B0D">
        <w:rPr>
          <w:lang w:val="fr-FR"/>
        </w:rPr>
        <w:instrText xml:space="preserve"> ADDIN EN.REFLIST </w:instrText>
      </w:r>
      <w:r w:rsidRPr="005D3B0D">
        <w:rPr>
          <w:lang w:val="fr-FR"/>
        </w:rPr>
        <w:fldChar w:fldCharType="separate"/>
      </w:r>
      <w:r w:rsidRPr="00DD1E81">
        <w:rPr>
          <w:noProof/>
          <w:sz w:val="20"/>
          <w:lang w:val="fr-FR"/>
        </w:rPr>
        <w:t>ANGERMULLER</w:t>
      </w:r>
      <w:r w:rsidRPr="00E42A9D">
        <w:rPr>
          <w:noProof/>
          <w:lang w:val="fr-FR"/>
        </w:rPr>
        <w:t xml:space="preserve"> Johannes, 2013a</w:t>
      </w:r>
      <w:r>
        <w:rPr>
          <w:noProof/>
          <w:lang w:val="fr-FR"/>
        </w:rPr>
        <w:t>,</w:t>
      </w:r>
      <w:r w:rsidRPr="00E42A9D">
        <w:rPr>
          <w:noProof/>
          <w:lang w:val="fr-FR"/>
        </w:rPr>
        <w:t xml:space="preserve"> </w:t>
      </w:r>
      <w:r w:rsidRPr="00E42A9D">
        <w:rPr>
          <w:i/>
          <w:noProof/>
          <w:lang w:val="fr-FR"/>
        </w:rPr>
        <w:t xml:space="preserve">Analyse du discours poststructuraliste. Les </w:t>
      </w:r>
      <w:r>
        <w:rPr>
          <w:i/>
          <w:noProof/>
          <w:lang w:val="fr-FR"/>
        </w:rPr>
        <w:t>V</w:t>
      </w:r>
      <w:r w:rsidRPr="00E42A9D">
        <w:rPr>
          <w:i/>
          <w:noProof/>
          <w:lang w:val="fr-FR"/>
        </w:rPr>
        <w:t>oix du sujet dans le langage chez Lacan, Althusser, Foucault, Derrida et Sollers</w:t>
      </w:r>
      <w:r>
        <w:rPr>
          <w:noProof/>
          <w:lang w:val="fr-FR"/>
        </w:rPr>
        <w:t>,</w:t>
      </w:r>
      <w:r w:rsidRPr="00E42A9D">
        <w:rPr>
          <w:noProof/>
          <w:lang w:val="fr-FR"/>
        </w:rPr>
        <w:t xml:space="preserve"> Limoges</w:t>
      </w:r>
      <w:r>
        <w:rPr>
          <w:noProof/>
          <w:lang w:val="fr-FR"/>
        </w:rPr>
        <w:t>,</w:t>
      </w:r>
      <w:r w:rsidRPr="00E42A9D">
        <w:rPr>
          <w:noProof/>
          <w:lang w:val="fr-FR"/>
        </w:rPr>
        <w:t xml:space="preserve"> Lambert Lucas.</w:t>
      </w:r>
    </w:p>
    <w:p w14:paraId="7D386A82" w14:textId="77777777" w:rsidR="0055302E" w:rsidRDefault="0055302E" w:rsidP="00097774">
      <w:pPr>
        <w:pStyle w:val="EndNoteBibliography"/>
        <w:spacing w:after="0"/>
        <w:ind w:hanging="11"/>
        <w:rPr>
          <w:noProof/>
          <w:lang w:val="fr-FR"/>
        </w:rPr>
      </w:pPr>
      <w:r w:rsidRPr="00E42A9D">
        <w:rPr>
          <w:noProof/>
          <w:lang w:val="fr-FR"/>
        </w:rPr>
        <w:t>— 2013b</w:t>
      </w:r>
      <w:r>
        <w:rPr>
          <w:noProof/>
          <w:lang w:val="fr-FR"/>
        </w:rPr>
        <w:t>,</w:t>
      </w:r>
      <w:r w:rsidRPr="00E42A9D">
        <w:rPr>
          <w:noProof/>
          <w:lang w:val="fr-FR"/>
        </w:rPr>
        <w:t xml:space="preserve"> </w:t>
      </w:r>
      <w:r w:rsidRPr="00E42A9D">
        <w:rPr>
          <w:i/>
          <w:noProof/>
          <w:lang w:val="fr-FR"/>
        </w:rPr>
        <w:t xml:space="preserve">Le Champ de la Théorie. Essor et déclin du structuralisme en </w:t>
      </w:r>
      <w:r>
        <w:rPr>
          <w:i/>
          <w:noProof/>
          <w:lang w:val="fr-FR"/>
        </w:rPr>
        <w:t>France</w:t>
      </w:r>
      <w:r>
        <w:rPr>
          <w:noProof/>
          <w:lang w:val="fr-FR"/>
        </w:rPr>
        <w:t>,</w:t>
      </w:r>
      <w:r w:rsidRPr="00E42A9D">
        <w:rPr>
          <w:noProof/>
          <w:lang w:val="fr-FR"/>
        </w:rPr>
        <w:t xml:space="preserve"> Paris</w:t>
      </w:r>
      <w:r>
        <w:rPr>
          <w:noProof/>
          <w:lang w:val="fr-FR"/>
        </w:rPr>
        <w:t>,</w:t>
      </w:r>
      <w:r w:rsidRPr="00E42A9D">
        <w:rPr>
          <w:noProof/>
          <w:lang w:val="fr-FR"/>
        </w:rPr>
        <w:t xml:space="preserve"> Hermann.</w:t>
      </w:r>
    </w:p>
    <w:p w14:paraId="785AFBDA" w14:textId="77777777" w:rsidR="0055302E" w:rsidRPr="00E42A9D" w:rsidRDefault="0055302E" w:rsidP="00097774">
      <w:pPr>
        <w:pStyle w:val="EndNoteBibliography"/>
        <w:spacing w:after="0"/>
        <w:ind w:left="720" w:hanging="720"/>
        <w:rPr>
          <w:noProof/>
          <w:lang w:val="fr-FR"/>
        </w:rPr>
      </w:pPr>
      <w:r w:rsidRPr="00DD1E81">
        <w:rPr>
          <w:noProof/>
          <w:sz w:val="20"/>
          <w:lang w:val="fr-FR"/>
        </w:rPr>
        <w:t>DERRIDA</w:t>
      </w:r>
      <w:r w:rsidRPr="00E42A9D">
        <w:rPr>
          <w:noProof/>
          <w:lang w:val="fr-FR"/>
        </w:rPr>
        <w:t xml:space="preserve"> Jacques</w:t>
      </w:r>
      <w:r>
        <w:rPr>
          <w:noProof/>
          <w:lang w:val="fr-FR"/>
        </w:rPr>
        <w:t>,</w:t>
      </w:r>
      <w:r w:rsidRPr="00E42A9D">
        <w:rPr>
          <w:noProof/>
          <w:lang w:val="fr-FR"/>
        </w:rPr>
        <w:t>1967a</w:t>
      </w:r>
      <w:r>
        <w:rPr>
          <w:noProof/>
          <w:lang w:val="fr-FR"/>
        </w:rPr>
        <w:t>,</w:t>
      </w:r>
      <w:r w:rsidRPr="00E42A9D">
        <w:rPr>
          <w:noProof/>
          <w:lang w:val="fr-FR"/>
        </w:rPr>
        <w:t xml:space="preserve"> </w:t>
      </w:r>
      <w:r w:rsidRPr="00E42A9D">
        <w:rPr>
          <w:i/>
          <w:noProof/>
          <w:lang w:val="fr-FR"/>
        </w:rPr>
        <w:t>De la grammatologie</w:t>
      </w:r>
      <w:r>
        <w:rPr>
          <w:noProof/>
          <w:lang w:val="fr-FR"/>
        </w:rPr>
        <w:t>,</w:t>
      </w:r>
      <w:r w:rsidRPr="00E42A9D">
        <w:rPr>
          <w:noProof/>
          <w:lang w:val="fr-FR"/>
        </w:rPr>
        <w:t xml:space="preserve"> Paris</w:t>
      </w:r>
      <w:r>
        <w:rPr>
          <w:noProof/>
          <w:lang w:val="fr-FR"/>
        </w:rPr>
        <w:t>,</w:t>
      </w:r>
      <w:r w:rsidRPr="00E42A9D">
        <w:rPr>
          <w:noProof/>
          <w:lang w:val="fr-FR"/>
        </w:rPr>
        <w:t xml:space="preserve"> Minuit.</w:t>
      </w:r>
    </w:p>
    <w:p w14:paraId="557CD97F" w14:textId="77777777" w:rsidR="0055302E" w:rsidRPr="00E42A9D" w:rsidRDefault="0055302E" w:rsidP="00097774">
      <w:pPr>
        <w:pStyle w:val="EndNoteBibliography"/>
        <w:spacing w:after="0"/>
        <w:ind w:left="720" w:hanging="720"/>
        <w:rPr>
          <w:noProof/>
          <w:lang w:val="fr-FR"/>
        </w:rPr>
      </w:pPr>
      <w:r w:rsidRPr="00E42A9D">
        <w:rPr>
          <w:noProof/>
          <w:lang w:val="fr-FR"/>
        </w:rPr>
        <w:t>— 1967b</w:t>
      </w:r>
      <w:r>
        <w:rPr>
          <w:noProof/>
          <w:lang w:val="fr-FR"/>
        </w:rPr>
        <w:t>,</w:t>
      </w:r>
      <w:r w:rsidRPr="00E42A9D">
        <w:rPr>
          <w:noProof/>
          <w:lang w:val="fr-FR"/>
        </w:rPr>
        <w:t xml:space="preserve"> </w:t>
      </w:r>
      <w:r w:rsidRPr="00E42A9D">
        <w:rPr>
          <w:i/>
          <w:noProof/>
          <w:lang w:val="fr-FR"/>
        </w:rPr>
        <w:t xml:space="preserve">L’Écriture et la </w:t>
      </w:r>
      <w:r>
        <w:rPr>
          <w:i/>
          <w:noProof/>
          <w:lang w:val="fr-FR"/>
        </w:rPr>
        <w:t>D</w:t>
      </w:r>
      <w:r w:rsidRPr="00E42A9D">
        <w:rPr>
          <w:i/>
          <w:noProof/>
          <w:lang w:val="fr-FR"/>
        </w:rPr>
        <w:t>ifférence</w:t>
      </w:r>
      <w:r>
        <w:rPr>
          <w:noProof/>
          <w:lang w:val="fr-FR"/>
        </w:rPr>
        <w:t>,</w:t>
      </w:r>
      <w:r w:rsidRPr="00E42A9D">
        <w:rPr>
          <w:noProof/>
          <w:lang w:val="fr-FR"/>
        </w:rPr>
        <w:t xml:space="preserve"> Paris</w:t>
      </w:r>
      <w:r>
        <w:rPr>
          <w:noProof/>
          <w:lang w:val="fr-FR"/>
        </w:rPr>
        <w:t>,</w:t>
      </w:r>
      <w:r w:rsidRPr="00E42A9D">
        <w:rPr>
          <w:noProof/>
          <w:lang w:val="fr-FR"/>
        </w:rPr>
        <w:t xml:space="preserve"> Le Seuil.</w:t>
      </w:r>
    </w:p>
    <w:p w14:paraId="31B0CE5B" w14:textId="77777777" w:rsidR="0055302E" w:rsidRPr="00E42A9D" w:rsidRDefault="0055302E" w:rsidP="00097774">
      <w:pPr>
        <w:pStyle w:val="EndNoteBibliography"/>
        <w:spacing w:after="0"/>
        <w:ind w:left="720" w:hanging="720"/>
        <w:rPr>
          <w:noProof/>
          <w:lang w:val="fr-FR"/>
        </w:rPr>
      </w:pPr>
      <w:r w:rsidRPr="00E42A9D">
        <w:rPr>
          <w:noProof/>
          <w:lang w:val="fr-FR"/>
        </w:rPr>
        <w:t>— 1967c</w:t>
      </w:r>
      <w:r>
        <w:rPr>
          <w:noProof/>
          <w:lang w:val="fr-FR"/>
        </w:rPr>
        <w:t>,</w:t>
      </w:r>
      <w:r w:rsidRPr="00E42A9D">
        <w:rPr>
          <w:noProof/>
          <w:lang w:val="fr-FR"/>
        </w:rPr>
        <w:t xml:space="preserve"> </w:t>
      </w:r>
      <w:r w:rsidRPr="00E42A9D">
        <w:rPr>
          <w:i/>
          <w:noProof/>
          <w:lang w:val="fr-FR"/>
        </w:rPr>
        <w:t xml:space="preserve">La </w:t>
      </w:r>
      <w:r>
        <w:rPr>
          <w:i/>
          <w:noProof/>
          <w:lang w:val="fr-FR"/>
        </w:rPr>
        <w:t>V</w:t>
      </w:r>
      <w:r w:rsidRPr="00E42A9D">
        <w:rPr>
          <w:i/>
          <w:noProof/>
          <w:lang w:val="fr-FR"/>
        </w:rPr>
        <w:t xml:space="preserve">oix et le </w:t>
      </w:r>
      <w:r>
        <w:rPr>
          <w:i/>
          <w:noProof/>
          <w:lang w:val="fr-FR"/>
        </w:rPr>
        <w:t>P</w:t>
      </w:r>
      <w:r w:rsidRPr="00E42A9D">
        <w:rPr>
          <w:i/>
          <w:noProof/>
          <w:lang w:val="fr-FR"/>
        </w:rPr>
        <w:t>hénomène</w:t>
      </w:r>
      <w:r>
        <w:rPr>
          <w:noProof/>
          <w:lang w:val="fr-FR"/>
        </w:rPr>
        <w:t xml:space="preserve">, </w:t>
      </w:r>
      <w:r w:rsidRPr="00E42A9D">
        <w:rPr>
          <w:noProof/>
          <w:lang w:val="fr-FR"/>
        </w:rPr>
        <w:t>Paris</w:t>
      </w:r>
      <w:r>
        <w:rPr>
          <w:noProof/>
          <w:lang w:val="fr-FR"/>
        </w:rPr>
        <w:t>,</w:t>
      </w:r>
      <w:r w:rsidRPr="00E42A9D">
        <w:rPr>
          <w:noProof/>
          <w:lang w:val="fr-FR"/>
        </w:rPr>
        <w:t xml:space="preserve"> Quadrige/PUF.</w:t>
      </w:r>
    </w:p>
    <w:p w14:paraId="66E93E24" w14:textId="77777777" w:rsidR="0055302E" w:rsidRPr="00E42A9D" w:rsidRDefault="0055302E" w:rsidP="00097774">
      <w:pPr>
        <w:pStyle w:val="EndNoteBibliography"/>
        <w:spacing w:after="0"/>
        <w:ind w:left="720" w:hanging="720"/>
        <w:rPr>
          <w:noProof/>
          <w:lang w:val="fr-FR"/>
        </w:rPr>
      </w:pPr>
      <w:r w:rsidRPr="00E42A9D">
        <w:rPr>
          <w:noProof/>
          <w:lang w:val="fr-FR"/>
        </w:rPr>
        <w:t>— 1972</w:t>
      </w:r>
      <w:r>
        <w:rPr>
          <w:noProof/>
          <w:lang w:val="fr-FR"/>
        </w:rPr>
        <w:t>,</w:t>
      </w:r>
      <w:r w:rsidRPr="00E42A9D">
        <w:rPr>
          <w:noProof/>
          <w:lang w:val="fr-FR"/>
        </w:rPr>
        <w:t xml:space="preserve"> </w:t>
      </w:r>
      <w:r w:rsidRPr="00E42A9D">
        <w:rPr>
          <w:i/>
          <w:noProof/>
          <w:lang w:val="fr-FR"/>
        </w:rPr>
        <w:t>Marges de la philosophie</w:t>
      </w:r>
      <w:r>
        <w:rPr>
          <w:noProof/>
          <w:lang w:val="fr-FR"/>
        </w:rPr>
        <w:t>,</w:t>
      </w:r>
      <w:r w:rsidRPr="00E42A9D">
        <w:rPr>
          <w:noProof/>
          <w:lang w:val="fr-FR"/>
        </w:rPr>
        <w:t xml:space="preserve"> Paris</w:t>
      </w:r>
      <w:r>
        <w:rPr>
          <w:noProof/>
          <w:lang w:val="fr-FR"/>
        </w:rPr>
        <w:t>,</w:t>
      </w:r>
      <w:r w:rsidRPr="00E42A9D">
        <w:rPr>
          <w:noProof/>
          <w:lang w:val="fr-FR"/>
        </w:rPr>
        <w:t xml:space="preserve"> Minuit.</w:t>
      </w:r>
    </w:p>
    <w:p w14:paraId="1D01D70D" w14:textId="77777777" w:rsidR="0055302E" w:rsidRPr="00D53B51" w:rsidRDefault="0055302E" w:rsidP="00097774">
      <w:pPr>
        <w:pStyle w:val="EndNoteBibliography"/>
        <w:spacing w:after="0"/>
        <w:ind w:left="720" w:hanging="720"/>
        <w:rPr>
          <w:noProof/>
        </w:rPr>
      </w:pPr>
      <w:r w:rsidRPr="00E42A9D">
        <w:rPr>
          <w:noProof/>
          <w:lang w:val="fr-FR"/>
        </w:rPr>
        <w:t>— 1974</w:t>
      </w:r>
      <w:r>
        <w:rPr>
          <w:noProof/>
          <w:lang w:val="fr-FR"/>
        </w:rPr>
        <w:t>,</w:t>
      </w:r>
      <w:r w:rsidRPr="00E42A9D">
        <w:rPr>
          <w:noProof/>
          <w:lang w:val="fr-FR"/>
        </w:rPr>
        <w:t xml:space="preserve"> </w:t>
      </w:r>
      <w:r w:rsidRPr="00E42A9D">
        <w:rPr>
          <w:i/>
          <w:noProof/>
          <w:lang w:val="fr-FR"/>
        </w:rPr>
        <w:t xml:space="preserve">Glas. Que reste-t-il du savoir absolu? </w:t>
      </w:r>
      <w:r w:rsidRPr="00D53B51">
        <w:rPr>
          <w:i/>
          <w:noProof/>
        </w:rPr>
        <w:t>Vol. I+II</w:t>
      </w:r>
      <w:r>
        <w:rPr>
          <w:noProof/>
        </w:rPr>
        <w:t xml:space="preserve">, </w:t>
      </w:r>
      <w:r w:rsidRPr="00D53B51">
        <w:rPr>
          <w:noProof/>
        </w:rPr>
        <w:t>Paris</w:t>
      </w:r>
      <w:r>
        <w:rPr>
          <w:noProof/>
        </w:rPr>
        <w:t>,</w:t>
      </w:r>
      <w:r w:rsidRPr="00D53B51">
        <w:rPr>
          <w:noProof/>
        </w:rPr>
        <w:t xml:space="preserve"> Denoël.</w:t>
      </w:r>
    </w:p>
    <w:p w14:paraId="6AA3DDBE" w14:textId="77777777" w:rsidR="0055302E" w:rsidRPr="00E42A9D" w:rsidRDefault="0055302E" w:rsidP="00097774">
      <w:pPr>
        <w:pStyle w:val="EndNoteBibliography"/>
        <w:spacing w:after="0"/>
        <w:ind w:left="720" w:hanging="720"/>
        <w:rPr>
          <w:noProof/>
          <w:lang w:val="fr-FR"/>
        </w:rPr>
      </w:pPr>
      <w:r w:rsidRPr="00E42A9D">
        <w:rPr>
          <w:noProof/>
          <w:lang w:val="fr-FR"/>
        </w:rPr>
        <w:t>— 1978</w:t>
      </w:r>
      <w:r>
        <w:rPr>
          <w:noProof/>
          <w:lang w:val="fr-FR"/>
        </w:rPr>
        <w:t>,</w:t>
      </w:r>
      <w:r w:rsidRPr="00E42A9D">
        <w:rPr>
          <w:noProof/>
          <w:lang w:val="fr-FR"/>
        </w:rPr>
        <w:t xml:space="preserve"> </w:t>
      </w:r>
      <w:r w:rsidRPr="00E42A9D">
        <w:rPr>
          <w:i/>
          <w:noProof/>
          <w:lang w:val="fr-FR"/>
        </w:rPr>
        <w:t xml:space="preserve">Éperons. Les </w:t>
      </w:r>
      <w:r>
        <w:rPr>
          <w:i/>
          <w:noProof/>
          <w:lang w:val="fr-FR"/>
        </w:rPr>
        <w:t>S</w:t>
      </w:r>
      <w:r w:rsidRPr="00E42A9D">
        <w:rPr>
          <w:i/>
          <w:noProof/>
          <w:lang w:val="fr-FR"/>
        </w:rPr>
        <w:t>tyles de Nietzsche</w:t>
      </w:r>
      <w:r>
        <w:rPr>
          <w:noProof/>
          <w:lang w:val="fr-FR"/>
        </w:rPr>
        <w:t>,</w:t>
      </w:r>
      <w:r w:rsidRPr="00E42A9D">
        <w:rPr>
          <w:noProof/>
          <w:lang w:val="fr-FR"/>
        </w:rPr>
        <w:t xml:space="preserve"> Paris</w:t>
      </w:r>
      <w:r>
        <w:rPr>
          <w:noProof/>
          <w:lang w:val="fr-FR"/>
        </w:rPr>
        <w:t>,</w:t>
      </w:r>
      <w:r w:rsidRPr="00E42A9D">
        <w:rPr>
          <w:noProof/>
          <w:lang w:val="fr-FR"/>
        </w:rPr>
        <w:t xml:space="preserve"> Flammarion.</w:t>
      </w:r>
    </w:p>
    <w:p w14:paraId="2B7EC1ED" w14:textId="77777777" w:rsidR="0055302E" w:rsidRPr="00E42A9D" w:rsidRDefault="0055302E" w:rsidP="00097774">
      <w:pPr>
        <w:pStyle w:val="EndNoteBibliography"/>
        <w:spacing w:after="0"/>
        <w:ind w:left="720" w:hanging="720"/>
        <w:rPr>
          <w:noProof/>
          <w:lang w:val="fr-FR"/>
        </w:rPr>
      </w:pPr>
      <w:r w:rsidRPr="00DD1E81">
        <w:rPr>
          <w:noProof/>
          <w:sz w:val="20"/>
          <w:lang w:val="fr-FR"/>
        </w:rPr>
        <w:t>DUCROT</w:t>
      </w:r>
      <w:r w:rsidRPr="00E42A9D">
        <w:rPr>
          <w:noProof/>
          <w:lang w:val="fr-FR"/>
        </w:rPr>
        <w:t xml:space="preserve"> Oswald</w:t>
      </w:r>
      <w:r>
        <w:rPr>
          <w:noProof/>
          <w:lang w:val="fr-FR"/>
        </w:rPr>
        <w:t xml:space="preserve">, </w:t>
      </w:r>
      <w:r w:rsidRPr="00E42A9D">
        <w:rPr>
          <w:noProof/>
          <w:lang w:val="fr-FR"/>
        </w:rPr>
        <w:t>1984</w:t>
      </w:r>
      <w:r>
        <w:rPr>
          <w:noProof/>
          <w:lang w:val="fr-FR"/>
        </w:rPr>
        <w:t>,</w:t>
      </w:r>
      <w:r w:rsidRPr="00E42A9D">
        <w:rPr>
          <w:noProof/>
          <w:lang w:val="fr-FR"/>
        </w:rPr>
        <w:t xml:space="preserve"> </w:t>
      </w:r>
      <w:r w:rsidRPr="00E42A9D">
        <w:rPr>
          <w:i/>
          <w:noProof/>
          <w:lang w:val="fr-FR"/>
        </w:rPr>
        <w:t>Le Dire et le dit</w:t>
      </w:r>
      <w:r>
        <w:rPr>
          <w:noProof/>
          <w:lang w:val="fr-FR"/>
        </w:rPr>
        <w:t xml:space="preserve">, </w:t>
      </w:r>
      <w:r w:rsidRPr="00E42A9D">
        <w:rPr>
          <w:noProof/>
          <w:lang w:val="fr-FR"/>
        </w:rPr>
        <w:t>Paris</w:t>
      </w:r>
      <w:r>
        <w:rPr>
          <w:noProof/>
          <w:lang w:val="fr-FR"/>
        </w:rPr>
        <w:t>,</w:t>
      </w:r>
      <w:r w:rsidRPr="00E42A9D">
        <w:rPr>
          <w:noProof/>
          <w:lang w:val="fr-FR"/>
        </w:rPr>
        <w:t xml:space="preserve"> Minuit.</w:t>
      </w:r>
    </w:p>
    <w:p w14:paraId="38E27D43" w14:textId="77777777" w:rsidR="0055302E" w:rsidRDefault="0055302E" w:rsidP="00097774">
      <w:pPr>
        <w:pStyle w:val="EndNoteBibliography"/>
        <w:spacing w:after="0"/>
        <w:ind w:hanging="11"/>
        <w:rPr>
          <w:noProof/>
          <w:lang w:val="fr-FR"/>
        </w:rPr>
      </w:pPr>
      <w:r w:rsidRPr="00DD1E81">
        <w:rPr>
          <w:noProof/>
          <w:sz w:val="20"/>
          <w:lang w:val="fr-FR"/>
        </w:rPr>
        <w:t>MAINGUENEAU</w:t>
      </w:r>
      <w:r w:rsidRPr="00E42A9D">
        <w:rPr>
          <w:noProof/>
          <w:lang w:val="fr-FR"/>
        </w:rPr>
        <w:t xml:space="preserve"> Dominique</w:t>
      </w:r>
      <w:r>
        <w:rPr>
          <w:noProof/>
          <w:lang w:val="fr-FR"/>
        </w:rPr>
        <w:t xml:space="preserve">, </w:t>
      </w:r>
      <w:r w:rsidRPr="00E42A9D">
        <w:rPr>
          <w:noProof/>
          <w:lang w:val="fr-FR"/>
        </w:rPr>
        <w:t>1991</w:t>
      </w:r>
      <w:r>
        <w:rPr>
          <w:noProof/>
          <w:lang w:val="fr-FR"/>
        </w:rPr>
        <w:t>,</w:t>
      </w:r>
      <w:r w:rsidRPr="00E42A9D">
        <w:rPr>
          <w:noProof/>
          <w:lang w:val="fr-FR"/>
        </w:rPr>
        <w:t xml:space="preserve"> </w:t>
      </w:r>
      <w:r w:rsidRPr="00E42A9D">
        <w:rPr>
          <w:i/>
          <w:noProof/>
          <w:lang w:val="fr-FR"/>
        </w:rPr>
        <w:t>L’Analyse du discours. Introduction aux lectures de l’archive</w:t>
      </w:r>
      <w:r>
        <w:rPr>
          <w:noProof/>
          <w:lang w:val="fr-FR"/>
        </w:rPr>
        <w:t>,</w:t>
      </w:r>
      <w:r w:rsidRPr="00E42A9D">
        <w:rPr>
          <w:noProof/>
          <w:lang w:val="fr-FR"/>
        </w:rPr>
        <w:t xml:space="preserve"> Paris</w:t>
      </w:r>
      <w:r>
        <w:rPr>
          <w:noProof/>
          <w:lang w:val="fr-FR"/>
        </w:rPr>
        <w:t>,</w:t>
      </w:r>
      <w:r w:rsidRPr="00E42A9D">
        <w:rPr>
          <w:noProof/>
          <w:lang w:val="fr-FR"/>
        </w:rPr>
        <w:t xml:space="preserve"> Hachette.</w:t>
      </w:r>
    </w:p>
    <w:p w14:paraId="63EC36D9" w14:textId="77777777" w:rsidR="0055302E" w:rsidRDefault="0055302E" w:rsidP="00097774">
      <w:pPr>
        <w:pStyle w:val="EndNoteBibliography"/>
        <w:spacing w:after="0"/>
        <w:ind w:hanging="11"/>
        <w:rPr>
          <w:noProof/>
          <w:lang w:val="fr-FR"/>
        </w:rPr>
      </w:pPr>
      <w:r w:rsidRPr="00DD1E81">
        <w:rPr>
          <w:noProof/>
          <w:sz w:val="20"/>
        </w:rPr>
        <w:t>NØLKE</w:t>
      </w:r>
      <w:r w:rsidRPr="00E42A9D">
        <w:rPr>
          <w:noProof/>
        </w:rPr>
        <w:t xml:space="preserve"> Henning, Kjersti </w:t>
      </w:r>
      <w:r w:rsidRPr="00DD1E81">
        <w:rPr>
          <w:noProof/>
          <w:sz w:val="20"/>
        </w:rPr>
        <w:t>FLØTTUM</w:t>
      </w:r>
      <w:r w:rsidRPr="00E42A9D">
        <w:rPr>
          <w:noProof/>
        </w:rPr>
        <w:t xml:space="preserve"> et Coco </w:t>
      </w:r>
      <w:r w:rsidRPr="00DD1E81">
        <w:rPr>
          <w:noProof/>
          <w:sz w:val="20"/>
        </w:rPr>
        <w:t>NORÉN</w:t>
      </w:r>
      <w:r w:rsidRPr="00E42A9D">
        <w:rPr>
          <w:noProof/>
        </w:rPr>
        <w:t>,2004</w:t>
      </w:r>
      <w:r>
        <w:rPr>
          <w:noProof/>
        </w:rPr>
        <w:t>,</w:t>
      </w:r>
      <w:r w:rsidRPr="00E42A9D">
        <w:rPr>
          <w:noProof/>
        </w:rPr>
        <w:t xml:space="preserve"> </w:t>
      </w:r>
      <w:r w:rsidRPr="00E42A9D">
        <w:rPr>
          <w:i/>
          <w:noProof/>
        </w:rPr>
        <w:t xml:space="preserve">ScaPoLine. </w:t>
      </w:r>
      <w:r w:rsidRPr="00E42A9D">
        <w:rPr>
          <w:i/>
          <w:noProof/>
          <w:lang w:val="fr-FR"/>
        </w:rPr>
        <w:t>La théorie scandinave de la polyphonie linguistique</w:t>
      </w:r>
      <w:r>
        <w:rPr>
          <w:noProof/>
          <w:lang w:val="fr-FR"/>
        </w:rPr>
        <w:t>,</w:t>
      </w:r>
      <w:r w:rsidRPr="00E42A9D">
        <w:rPr>
          <w:noProof/>
          <w:lang w:val="fr-FR"/>
        </w:rPr>
        <w:t xml:space="preserve"> Paris</w:t>
      </w:r>
      <w:r>
        <w:rPr>
          <w:noProof/>
          <w:lang w:val="fr-FR"/>
        </w:rPr>
        <w:t>,</w:t>
      </w:r>
      <w:r w:rsidRPr="00E42A9D">
        <w:rPr>
          <w:noProof/>
          <w:lang w:val="fr-FR"/>
        </w:rPr>
        <w:t xml:space="preserve"> Kimé.</w:t>
      </w:r>
    </w:p>
    <w:p w14:paraId="780115EB" w14:textId="77777777" w:rsidR="0055302E" w:rsidRPr="00DD1E81" w:rsidRDefault="0055302E" w:rsidP="00097774">
      <w:pPr>
        <w:pStyle w:val="EndNoteBibliography"/>
        <w:spacing w:after="0"/>
        <w:ind w:hanging="11"/>
        <w:rPr>
          <w:noProof/>
          <w:lang w:val="fr-FR"/>
        </w:rPr>
      </w:pPr>
      <w:r w:rsidRPr="00DD1E81">
        <w:rPr>
          <w:noProof/>
          <w:sz w:val="20"/>
          <w:lang w:val="fr-FR"/>
        </w:rPr>
        <w:t>ROSIER</w:t>
      </w:r>
      <w:r w:rsidRPr="00E42A9D">
        <w:rPr>
          <w:noProof/>
          <w:lang w:val="fr-FR"/>
        </w:rPr>
        <w:t xml:space="preserve"> Laurence</w:t>
      </w:r>
      <w:r>
        <w:rPr>
          <w:noProof/>
          <w:lang w:val="fr-FR"/>
        </w:rPr>
        <w:t xml:space="preserve">, </w:t>
      </w:r>
      <w:r w:rsidRPr="00E42A9D">
        <w:rPr>
          <w:noProof/>
          <w:lang w:val="fr-FR"/>
        </w:rPr>
        <w:t>1999</w:t>
      </w:r>
      <w:r>
        <w:rPr>
          <w:noProof/>
          <w:lang w:val="fr-FR"/>
        </w:rPr>
        <w:t>,</w:t>
      </w:r>
      <w:r w:rsidRPr="00E42A9D">
        <w:rPr>
          <w:noProof/>
          <w:lang w:val="fr-FR"/>
        </w:rPr>
        <w:t xml:space="preserve"> </w:t>
      </w:r>
      <w:r w:rsidRPr="00E42A9D">
        <w:rPr>
          <w:i/>
          <w:noProof/>
          <w:lang w:val="fr-FR"/>
        </w:rPr>
        <w:t xml:space="preserve">Le </w:t>
      </w:r>
      <w:r>
        <w:rPr>
          <w:i/>
          <w:noProof/>
          <w:lang w:val="fr-FR"/>
        </w:rPr>
        <w:t>D</w:t>
      </w:r>
      <w:r w:rsidRPr="00E42A9D">
        <w:rPr>
          <w:i/>
          <w:noProof/>
          <w:lang w:val="fr-FR"/>
        </w:rPr>
        <w:t>iscours rapporté: histoire, théories, pratiques</w:t>
      </w:r>
      <w:r>
        <w:rPr>
          <w:noProof/>
          <w:lang w:val="fr-FR"/>
        </w:rPr>
        <w:t>,</w:t>
      </w:r>
      <w:r w:rsidRPr="00E42A9D">
        <w:rPr>
          <w:noProof/>
          <w:lang w:val="fr-FR"/>
        </w:rPr>
        <w:t xml:space="preserve"> </w:t>
      </w:r>
      <w:r w:rsidRPr="00DD1E81">
        <w:rPr>
          <w:noProof/>
          <w:lang w:val="fr-FR"/>
        </w:rPr>
        <w:t>Bruxelles: Duculot.</w:t>
      </w:r>
    </w:p>
    <w:p w14:paraId="5CB2D892" w14:textId="77777777" w:rsidR="0055302E" w:rsidRDefault="0055302E" w:rsidP="003D64A5">
      <w:pPr>
        <w:jc w:val="both"/>
      </w:pPr>
      <w:r w:rsidRPr="005D3B0D">
        <w:fldChar w:fldCharType="end"/>
      </w:r>
    </w:p>
    <w:sectPr w:rsidR="0055302E" w:rsidSect="00D7580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4077" w14:textId="77777777" w:rsidR="0055302E" w:rsidRDefault="0055302E" w:rsidP="00D75801">
      <w:r>
        <w:separator/>
      </w:r>
    </w:p>
  </w:endnote>
  <w:endnote w:type="continuationSeparator" w:id="0">
    <w:p w14:paraId="75060E9E" w14:textId="77777777" w:rsidR="0055302E" w:rsidRDefault="0055302E" w:rsidP="00D7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5126" w14:textId="77777777" w:rsidR="0055302E" w:rsidRDefault="0055302E" w:rsidP="00D75801">
      <w:r>
        <w:separator/>
      </w:r>
    </w:p>
  </w:footnote>
  <w:footnote w:type="continuationSeparator" w:id="0">
    <w:p w14:paraId="324DB85D" w14:textId="77777777" w:rsidR="0055302E" w:rsidRDefault="0055302E" w:rsidP="00D758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E90FC"/>
    <w:lvl w:ilvl="0">
      <w:start w:val="1"/>
      <w:numFmt w:val="decimal"/>
      <w:lvlText w:val="%1."/>
      <w:lvlJc w:val="left"/>
      <w:pPr>
        <w:tabs>
          <w:tab w:val="num" w:pos="1492"/>
        </w:tabs>
        <w:ind w:left="1492" w:hanging="360"/>
      </w:pPr>
    </w:lvl>
  </w:abstractNum>
  <w:abstractNum w:abstractNumId="1">
    <w:nsid w:val="FFFFFF7D"/>
    <w:multiLevelType w:val="singleLevel"/>
    <w:tmpl w:val="6268C94A"/>
    <w:lvl w:ilvl="0">
      <w:start w:val="1"/>
      <w:numFmt w:val="decimal"/>
      <w:lvlText w:val="%1."/>
      <w:lvlJc w:val="left"/>
      <w:pPr>
        <w:tabs>
          <w:tab w:val="num" w:pos="1209"/>
        </w:tabs>
        <w:ind w:left="1209" w:hanging="360"/>
      </w:pPr>
    </w:lvl>
  </w:abstractNum>
  <w:abstractNum w:abstractNumId="2">
    <w:nsid w:val="FFFFFF7E"/>
    <w:multiLevelType w:val="singleLevel"/>
    <w:tmpl w:val="21C8720A"/>
    <w:lvl w:ilvl="0">
      <w:start w:val="1"/>
      <w:numFmt w:val="decimal"/>
      <w:lvlText w:val="%1."/>
      <w:lvlJc w:val="left"/>
      <w:pPr>
        <w:tabs>
          <w:tab w:val="num" w:pos="926"/>
        </w:tabs>
        <w:ind w:left="926" w:hanging="360"/>
      </w:pPr>
    </w:lvl>
  </w:abstractNum>
  <w:abstractNum w:abstractNumId="3">
    <w:nsid w:val="FFFFFF7F"/>
    <w:multiLevelType w:val="singleLevel"/>
    <w:tmpl w:val="F1749A8C"/>
    <w:lvl w:ilvl="0">
      <w:start w:val="1"/>
      <w:numFmt w:val="decimal"/>
      <w:lvlText w:val="%1."/>
      <w:lvlJc w:val="left"/>
      <w:pPr>
        <w:tabs>
          <w:tab w:val="num" w:pos="643"/>
        </w:tabs>
        <w:ind w:left="643" w:hanging="360"/>
      </w:pPr>
    </w:lvl>
  </w:abstractNum>
  <w:abstractNum w:abstractNumId="4">
    <w:nsid w:val="FFFFFF80"/>
    <w:multiLevelType w:val="singleLevel"/>
    <w:tmpl w:val="E496CB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2E5D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1AA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228F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C27394"/>
    <w:lvl w:ilvl="0">
      <w:start w:val="1"/>
      <w:numFmt w:val="decimal"/>
      <w:lvlText w:val="%1."/>
      <w:lvlJc w:val="left"/>
      <w:pPr>
        <w:tabs>
          <w:tab w:val="num" w:pos="360"/>
        </w:tabs>
        <w:ind w:left="360" w:hanging="360"/>
      </w:pPr>
    </w:lvl>
  </w:abstractNum>
  <w:abstractNum w:abstractNumId="9">
    <w:nsid w:val="FFFFFF89"/>
    <w:multiLevelType w:val="singleLevel"/>
    <w:tmpl w:val="449CABAA"/>
    <w:lvl w:ilvl="0">
      <w:start w:val="1"/>
      <w:numFmt w:val="bullet"/>
      <w:lvlText w:val=""/>
      <w:lvlJc w:val="left"/>
      <w:pPr>
        <w:tabs>
          <w:tab w:val="num" w:pos="360"/>
        </w:tabs>
        <w:ind w:left="360" w:hanging="360"/>
      </w:pPr>
      <w:rPr>
        <w:rFonts w:ascii="Symbol" w:hAnsi="Symbol" w:hint="default"/>
      </w:rPr>
    </w:lvl>
  </w:abstractNum>
  <w:abstractNum w:abstractNumId="10">
    <w:nsid w:val="12B02586"/>
    <w:multiLevelType w:val="hybridMultilevel"/>
    <w:tmpl w:val="EAAC64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E4449A"/>
    <w:multiLevelType w:val="hybridMultilevel"/>
    <w:tmpl w:val="898431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781DA9"/>
    <w:multiLevelType w:val="hybridMultilevel"/>
    <w:tmpl w:val="20362484"/>
    <w:lvl w:ilvl="0" w:tplc="7068DD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646D76"/>
    <w:multiLevelType w:val="hybridMultilevel"/>
    <w:tmpl w:val="2586E5AA"/>
    <w:lvl w:ilvl="0" w:tplc="B728F01C">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2"/>
  </w:num>
  <w:num w:numId="2">
    <w:abstractNumId w:val="11"/>
  </w:num>
  <w:num w:numId="3">
    <w:abstractNumId w:val="10"/>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1"/>
    <w:rsid w:val="00006999"/>
    <w:rsid w:val="00017F27"/>
    <w:rsid w:val="000238FE"/>
    <w:rsid w:val="000402F4"/>
    <w:rsid w:val="00042675"/>
    <w:rsid w:val="00051CE5"/>
    <w:rsid w:val="000775AD"/>
    <w:rsid w:val="00083B1B"/>
    <w:rsid w:val="00087283"/>
    <w:rsid w:val="00090BD2"/>
    <w:rsid w:val="00094403"/>
    <w:rsid w:val="00097774"/>
    <w:rsid w:val="000B7BA0"/>
    <w:rsid w:val="000D1679"/>
    <w:rsid w:val="000E203A"/>
    <w:rsid w:val="000E3E4D"/>
    <w:rsid w:val="000E3E9F"/>
    <w:rsid w:val="000F346C"/>
    <w:rsid w:val="000F5BE3"/>
    <w:rsid w:val="0010108D"/>
    <w:rsid w:val="00102AFC"/>
    <w:rsid w:val="00110162"/>
    <w:rsid w:val="001167E6"/>
    <w:rsid w:val="001313D6"/>
    <w:rsid w:val="00133EE3"/>
    <w:rsid w:val="00134FE1"/>
    <w:rsid w:val="00135050"/>
    <w:rsid w:val="001378F3"/>
    <w:rsid w:val="00141CC1"/>
    <w:rsid w:val="001432D3"/>
    <w:rsid w:val="001602B6"/>
    <w:rsid w:val="001713A6"/>
    <w:rsid w:val="0017490D"/>
    <w:rsid w:val="001770F7"/>
    <w:rsid w:val="001809BF"/>
    <w:rsid w:val="00181A93"/>
    <w:rsid w:val="001838CF"/>
    <w:rsid w:val="00187EB6"/>
    <w:rsid w:val="00191555"/>
    <w:rsid w:val="001954AC"/>
    <w:rsid w:val="001A5DF3"/>
    <w:rsid w:val="001A696A"/>
    <w:rsid w:val="001A7CCB"/>
    <w:rsid w:val="001B0883"/>
    <w:rsid w:val="001C1986"/>
    <w:rsid w:val="001D6458"/>
    <w:rsid w:val="001E30D5"/>
    <w:rsid w:val="00202E0B"/>
    <w:rsid w:val="00204D67"/>
    <w:rsid w:val="002140BF"/>
    <w:rsid w:val="00217870"/>
    <w:rsid w:val="002201D3"/>
    <w:rsid w:val="0023226B"/>
    <w:rsid w:val="002424A3"/>
    <w:rsid w:val="002443E3"/>
    <w:rsid w:val="00263C34"/>
    <w:rsid w:val="00280311"/>
    <w:rsid w:val="002816D5"/>
    <w:rsid w:val="00283AA0"/>
    <w:rsid w:val="00291897"/>
    <w:rsid w:val="002920BD"/>
    <w:rsid w:val="002A2E62"/>
    <w:rsid w:val="002A55BD"/>
    <w:rsid w:val="002A7C79"/>
    <w:rsid w:val="002C13D6"/>
    <w:rsid w:val="002C6370"/>
    <w:rsid w:val="002D1801"/>
    <w:rsid w:val="002F1985"/>
    <w:rsid w:val="002F42C5"/>
    <w:rsid w:val="002F59C3"/>
    <w:rsid w:val="003107EF"/>
    <w:rsid w:val="003173FF"/>
    <w:rsid w:val="00332A8D"/>
    <w:rsid w:val="003347CD"/>
    <w:rsid w:val="0033649F"/>
    <w:rsid w:val="003376F5"/>
    <w:rsid w:val="003514D1"/>
    <w:rsid w:val="0035606E"/>
    <w:rsid w:val="00356BB4"/>
    <w:rsid w:val="00361001"/>
    <w:rsid w:val="00362B34"/>
    <w:rsid w:val="0036784A"/>
    <w:rsid w:val="00372535"/>
    <w:rsid w:val="003760D5"/>
    <w:rsid w:val="00383BFE"/>
    <w:rsid w:val="00396147"/>
    <w:rsid w:val="003A2A6A"/>
    <w:rsid w:val="003A7F97"/>
    <w:rsid w:val="003C47F9"/>
    <w:rsid w:val="003D1A17"/>
    <w:rsid w:val="003D5CD1"/>
    <w:rsid w:val="003D64A5"/>
    <w:rsid w:val="003E07A9"/>
    <w:rsid w:val="003E12C0"/>
    <w:rsid w:val="003F0403"/>
    <w:rsid w:val="003F0DBE"/>
    <w:rsid w:val="003F4DAD"/>
    <w:rsid w:val="003F770A"/>
    <w:rsid w:val="004002FA"/>
    <w:rsid w:val="00401813"/>
    <w:rsid w:val="00402457"/>
    <w:rsid w:val="004139DF"/>
    <w:rsid w:val="004228D1"/>
    <w:rsid w:val="00423CDB"/>
    <w:rsid w:val="004274C2"/>
    <w:rsid w:val="00430190"/>
    <w:rsid w:val="00432F68"/>
    <w:rsid w:val="00433AB8"/>
    <w:rsid w:val="00434165"/>
    <w:rsid w:val="004537B4"/>
    <w:rsid w:val="0045458E"/>
    <w:rsid w:val="00460A15"/>
    <w:rsid w:val="004745B7"/>
    <w:rsid w:val="00492855"/>
    <w:rsid w:val="004B0CDE"/>
    <w:rsid w:val="004B71C7"/>
    <w:rsid w:val="004C0A56"/>
    <w:rsid w:val="004C5418"/>
    <w:rsid w:val="004D379E"/>
    <w:rsid w:val="004E4B81"/>
    <w:rsid w:val="004F12AA"/>
    <w:rsid w:val="004F2D3C"/>
    <w:rsid w:val="004F5F88"/>
    <w:rsid w:val="005004CA"/>
    <w:rsid w:val="00505B32"/>
    <w:rsid w:val="00505D62"/>
    <w:rsid w:val="00510A99"/>
    <w:rsid w:val="00517211"/>
    <w:rsid w:val="00523606"/>
    <w:rsid w:val="005245E5"/>
    <w:rsid w:val="005310FC"/>
    <w:rsid w:val="00545757"/>
    <w:rsid w:val="0055302E"/>
    <w:rsid w:val="00553CB8"/>
    <w:rsid w:val="00554BCD"/>
    <w:rsid w:val="00556624"/>
    <w:rsid w:val="00563BC4"/>
    <w:rsid w:val="00571508"/>
    <w:rsid w:val="00571A17"/>
    <w:rsid w:val="00571EB8"/>
    <w:rsid w:val="00585FE7"/>
    <w:rsid w:val="00592DAA"/>
    <w:rsid w:val="00592F54"/>
    <w:rsid w:val="00593BB6"/>
    <w:rsid w:val="00596C0B"/>
    <w:rsid w:val="005A6061"/>
    <w:rsid w:val="005B666F"/>
    <w:rsid w:val="005C1F14"/>
    <w:rsid w:val="005C24D4"/>
    <w:rsid w:val="005C48EA"/>
    <w:rsid w:val="005D1DF6"/>
    <w:rsid w:val="005D27F1"/>
    <w:rsid w:val="005D27FB"/>
    <w:rsid w:val="005D3521"/>
    <w:rsid w:val="005D3B0D"/>
    <w:rsid w:val="005D7ACD"/>
    <w:rsid w:val="005E0EC1"/>
    <w:rsid w:val="005E62CF"/>
    <w:rsid w:val="005F2D98"/>
    <w:rsid w:val="005F7BAA"/>
    <w:rsid w:val="006037DB"/>
    <w:rsid w:val="00605CEF"/>
    <w:rsid w:val="0062222D"/>
    <w:rsid w:val="0062572F"/>
    <w:rsid w:val="00642473"/>
    <w:rsid w:val="00646B55"/>
    <w:rsid w:val="00647D6B"/>
    <w:rsid w:val="00655067"/>
    <w:rsid w:val="00675602"/>
    <w:rsid w:val="00675B20"/>
    <w:rsid w:val="006818A4"/>
    <w:rsid w:val="00685CE5"/>
    <w:rsid w:val="006A376B"/>
    <w:rsid w:val="006A6C2A"/>
    <w:rsid w:val="006A775F"/>
    <w:rsid w:val="006C1504"/>
    <w:rsid w:val="006C267F"/>
    <w:rsid w:val="006D257A"/>
    <w:rsid w:val="006D739D"/>
    <w:rsid w:val="006E75AF"/>
    <w:rsid w:val="006F7FA1"/>
    <w:rsid w:val="006F7FB0"/>
    <w:rsid w:val="00700D3E"/>
    <w:rsid w:val="00706690"/>
    <w:rsid w:val="00711BE3"/>
    <w:rsid w:val="00713BFF"/>
    <w:rsid w:val="00720BE2"/>
    <w:rsid w:val="00720BE8"/>
    <w:rsid w:val="007217FD"/>
    <w:rsid w:val="00727DE6"/>
    <w:rsid w:val="00731990"/>
    <w:rsid w:val="0073264F"/>
    <w:rsid w:val="00737A32"/>
    <w:rsid w:val="00751171"/>
    <w:rsid w:val="007607B4"/>
    <w:rsid w:val="00767099"/>
    <w:rsid w:val="00777056"/>
    <w:rsid w:val="007B0A4D"/>
    <w:rsid w:val="007B7EA6"/>
    <w:rsid w:val="007C42A6"/>
    <w:rsid w:val="007E31C5"/>
    <w:rsid w:val="007E4758"/>
    <w:rsid w:val="007E5059"/>
    <w:rsid w:val="007F2E91"/>
    <w:rsid w:val="00803E95"/>
    <w:rsid w:val="0082118A"/>
    <w:rsid w:val="00821355"/>
    <w:rsid w:val="00821796"/>
    <w:rsid w:val="008342F6"/>
    <w:rsid w:val="00837D9A"/>
    <w:rsid w:val="00844EC1"/>
    <w:rsid w:val="008669E1"/>
    <w:rsid w:val="00886FC4"/>
    <w:rsid w:val="0089779B"/>
    <w:rsid w:val="008A1764"/>
    <w:rsid w:val="008E00AC"/>
    <w:rsid w:val="008E4BF1"/>
    <w:rsid w:val="008F2949"/>
    <w:rsid w:val="0090463B"/>
    <w:rsid w:val="00911E74"/>
    <w:rsid w:val="00915BC4"/>
    <w:rsid w:val="00924F5B"/>
    <w:rsid w:val="00930049"/>
    <w:rsid w:val="009308FB"/>
    <w:rsid w:val="00932A25"/>
    <w:rsid w:val="009349FA"/>
    <w:rsid w:val="0093603C"/>
    <w:rsid w:val="00943442"/>
    <w:rsid w:val="00956759"/>
    <w:rsid w:val="00956BF2"/>
    <w:rsid w:val="009713FC"/>
    <w:rsid w:val="00974CB8"/>
    <w:rsid w:val="0098172C"/>
    <w:rsid w:val="00983675"/>
    <w:rsid w:val="00986A85"/>
    <w:rsid w:val="009A5123"/>
    <w:rsid w:val="009C16EF"/>
    <w:rsid w:val="009D7C85"/>
    <w:rsid w:val="009E5B06"/>
    <w:rsid w:val="009F0D18"/>
    <w:rsid w:val="009F1D2B"/>
    <w:rsid w:val="009F4F98"/>
    <w:rsid w:val="00A019D4"/>
    <w:rsid w:val="00A16481"/>
    <w:rsid w:val="00A1735B"/>
    <w:rsid w:val="00A20AB1"/>
    <w:rsid w:val="00A21827"/>
    <w:rsid w:val="00A274A4"/>
    <w:rsid w:val="00A31B9E"/>
    <w:rsid w:val="00A375F7"/>
    <w:rsid w:val="00A37B05"/>
    <w:rsid w:val="00A46653"/>
    <w:rsid w:val="00A50A66"/>
    <w:rsid w:val="00A55A6F"/>
    <w:rsid w:val="00A622D7"/>
    <w:rsid w:val="00A66961"/>
    <w:rsid w:val="00A87309"/>
    <w:rsid w:val="00A964F0"/>
    <w:rsid w:val="00AA263D"/>
    <w:rsid w:val="00AB475D"/>
    <w:rsid w:val="00AB571B"/>
    <w:rsid w:val="00AC15DF"/>
    <w:rsid w:val="00AD1716"/>
    <w:rsid w:val="00AD6D18"/>
    <w:rsid w:val="00AF1494"/>
    <w:rsid w:val="00AF1EC5"/>
    <w:rsid w:val="00AF2AD0"/>
    <w:rsid w:val="00AF365D"/>
    <w:rsid w:val="00AF4F2B"/>
    <w:rsid w:val="00B04070"/>
    <w:rsid w:val="00B13D84"/>
    <w:rsid w:val="00B15F43"/>
    <w:rsid w:val="00B229C6"/>
    <w:rsid w:val="00B33A9A"/>
    <w:rsid w:val="00B375F2"/>
    <w:rsid w:val="00B41284"/>
    <w:rsid w:val="00B45885"/>
    <w:rsid w:val="00B46F4D"/>
    <w:rsid w:val="00B56333"/>
    <w:rsid w:val="00B63C48"/>
    <w:rsid w:val="00B6640F"/>
    <w:rsid w:val="00B72E9C"/>
    <w:rsid w:val="00B80BA6"/>
    <w:rsid w:val="00B8161B"/>
    <w:rsid w:val="00B82925"/>
    <w:rsid w:val="00B916B5"/>
    <w:rsid w:val="00B91993"/>
    <w:rsid w:val="00B91D49"/>
    <w:rsid w:val="00B9487A"/>
    <w:rsid w:val="00BA142B"/>
    <w:rsid w:val="00BA24A9"/>
    <w:rsid w:val="00BA2C76"/>
    <w:rsid w:val="00BB0671"/>
    <w:rsid w:val="00BB353A"/>
    <w:rsid w:val="00BC376D"/>
    <w:rsid w:val="00BD330F"/>
    <w:rsid w:val="00BE2EF5"/>
    <w:rsid w:val="00BF2538"/>
    <w:rsid w:val="00BF5AC6"/>
    <w:rsid w:val="00BF652D"/>
    <w:rsid w:val="00BF6EEC"/>
    <w:rsid w:val="00BF7109"/>
    <w:rsid w:val="00C0593D"/>
    <w:rsid w:val="00C17019"/>
    <w:rsid w:val="00C17048"/>
    <w:rsid w:val="00C1724A"/>
    <w:rsid w:val="00C1783E"/>
    <w:rsid w:val="00C20DC2"/>
    <w:rsid w:val="00C31876"/>
    <w:rsid w:val="00C322FC"/>
    <w:rsid w:val="00C356BE"/>
    <w:rsid w:val="00C40E5E"/>
    <w:rsid w:val="00C432A0"/>
    <w:rsid w:val="00C70666"/>
    <w:rsid w:val="00C80D9D"/>
    <w:rsid w:val="00C906FF"/>
    <w:rsid w:val="00CA12EF"/>
    <w:rsid w:val="00CA6FAD"/>
    <w:rsid w:val="00CA7C74"/>
    <w:rsid w:val="00CB2394"/>
    <w:rsid w:val="00CC0482"/>
    <w:rsid w:val="00CC1B42"/>
    <w:rsid w:val="00CD40C0"/>
    <w:rsid w:val="00CD50AF"/>
    <w:rsid w:val="00CE1500"/>
    <w:rsid w:val="00CE2B9B"/>
    <w:rsid w:val="00CF00C6"/>
    <w:rsid w:val="00CF3F4E"/>
    <w:rsid w:val="00CF6853"/>
    <w:rsid w:val="00D24662"/>
    <w:rsid w:val="00D3375C"/>
    <w:rsid w:val="00D35A13"/>
    <w:rsid w:val="00D40002"/>
    <w:rsid w:val="00D42A38"/>
    <w:rsid w:val="00D444B1"/>
    <w:rsid w:val="00D47731"/>
    <w:rsid w:val="00D53B51"/>
    <w:rsid w:val="00D565B2"/>
    <w:rsid w:val="00D57DC2"/>
    <w:rsid w:val="00D7413C"/>
    <w:rsid w:val="00D75801"/>
    <w:rsid w:val="00D81D19"/>
    <w:rsid w:val="00DA38D0"/>
    <w:rsid w:val="00DB2696"/>
    <w:rsid w:val="00DC79AC"/>
    <w:rsid w:val="00DD17F5"/>
    <w:rsid w:val="00DD186F"/>
    <w:rsid w:val="00DD1E81"/>
    <w:rsid w:val="00DD7EBA"/>
    <w:rsid w:val="00DE6585"/>
    <w:rsid w:val="00DF21FB"/>
    <w:rsid w:val="00DF3F2F"/>
    <w:rsid w:val="00DF5878"/>
    <w:rsid w:val="00DF67F0"/>
    <w:rsid w:val="00E0136D"/>
    <w:rsid w:val="00E03D54"/>
    <w:rsid w:val="00E128D1"/>
    <w:rsid w:val="00E15DF1"/>
    <w:rsid w:val="00E21720"/>
    <w:rsid w:val="00E3094D"/>
    <w:rsid w:val="00E3605F"/>
    <w:rsid w:val="00E36FEA"/>
    <w:rsid w:val="00E42A9D"/>
    <w:rsid w:val="00E550D3"/>
    <w:rsid w:val="00E56F39"/>
    <w:rsid w:val="00E61D15"/>
    <w:rsid w:val="00E63440"/>
    <w:rsid w:val="00E7174B"/>
    <w:rsid w:val="00E74F74"/>
    <w:rsid w:val="00E75168"/>
    <w:rsid w:val="00E77587"/>
    <w:rsid w:val="00E827A2"/>
    <w:rsid w:val="00E85636"/>
    <w:rsid w:val="00E858A3"/>
    <w:rsid w:val="00E86A4F"/>
    <w:rsid w:val="00E9471F"/>
    <w:rsid w:val="00EA7125"/>
    <w:rsid w:val="00EA7190"/>
    <w:rsid w:val="00EA71DE"/>
    <w:rsid w:val="00EB11C9"/>
    <w:rsid w:val="00EB4ADD"/>
    <w:rsid w:val="00EB6BD1"/>
    <w:rsid w:val="00EC2E5B"/>
    <w:rsid w:val="00ED3BB3"/>
    <w:rsid w:val="00ED75D0"/>
    <w:rsid w:val="00EE022A"/>
    <w:rsid w:val="00EE651B"/>
    <w:rsid w:val="00F02836"/>
    <w:rsid w:val="00F13808"/>
    <w:rsid w:val="00F13952"/>
    <w:rsid w:val="00F14059"/>
    <w:rsid w:val="00F422DD"/>
    <w:rsid w:val="00F44DD6"/>
    <w:rsid w:val="00F461F9"/>
    <w:rsid w:val="00F54CED"/>
    <w:rsid w:val="00F60B13"/>
    <w:rsid w:val="00F61D61"/>
    <w:rsid w:val="00F65D45"/>
    <w:rsid w:val="00F66120"/>
    <w:rsid w:val="00F7355B"/>
    <w:rsid w:val="00F84DD1"/>
    <w:rsid w:val="00F8536A"/>
    <w:rsid w:val="00F87D02"/>
    <w:rsid w:val="00FB20BD"/>
    <w:rsid w:val="00FC259A"/>
    <w:rsid w:val="00FC5D0C"/>
    <w:rsid w:val="00FD063C"/>
    <w:rsid w:val="00FD11D8"/>
    <w:rsid w:val="00FD5999"/>
    <w:rsid w:val="00FE4D82"/>
    <w:rsid w:val="00FF5C6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9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01"/>
    <w:rPr>
      <w:rFonts w:ascii="Times New Roman" w:eastAsia="Times New Roman" w:hAnsi="Times New Roman"/>
      <w:sz w:val="24"/>
      <w:szCs w:val="24"/>
      <w:lang w:eastAsia="fr-FR"/>
    </w:rPr>
  </w:style>
  <w:style w:type="paragraph" w:styleId="Heading1">
    <w:name w:val="heading 1"/>
    <w:basedOn w:val="Normal"/>
    <w:next w:val="Normal"/>
    <w:link w:val="Heading1Char"/>
    <w:uiPriority w:val="99"/>
    <w:qFormat/>
    <w:rsid w:val="00D75801"/>
    <w:pPr>
      <w:keepNext/>
      <w:spacing w:line="360" w:lineRule="auto"/>
      <w:jc w:val="both"/>
      <w:outlineLvl w:val="0"/>
    </w:pPr>
    <w:rPr>
      <w:b/>
      <w:bCs/>
      <w:color w:val="00000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5801"/>
    <w:rPr>
      <w:rFonts w:ascii="Times New Roman" w:hAnsi="Times New Roman" w:cs="Times New Roman"/>
      <w:b/>
      <w:bCs/>
      <w:color w:val="000000"/>
      <w:sz w:val="16"/>
      <w:lang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character" w:styleId="Strong">
    <w:name w:val="Strong"/>
    <w:basedOn w:val="DefaultParagraphFont"/>
    <w:uiPriority w:val="99"/>
    <w:qFormat/>
    <w:rsid w:val="00D75801"/>
    <w:rPr>
      <w:rFonts w:cs="Times New Roman"/>
      <w:b/>
      <w:bCs/>
    </w:rPr>
  </w:style>
  <w:style w:type="paragraph" w:styleId="ListParagraph">
    <w:name w:val="List Paragraph"/>
    <w:basedOn w:val="Normal"/>
    <w:uiPriority w:val="99"/>
    <w:qFormat/>
    <w:rsid w:val="00D75801"/>
    <w:pPr>
      <w:ind w:left="720"/>
      <w:contextualSpacing/>
    </w:pPr>
  </w:style>
  <w:style w:type="character" w:styleId="HTMLCite">
    <w:name w:val="HTML Cite"/>
    <w:basedOn w:val="DefaultParagraphFont"/>
    <w:uiPriority w:val="99"/>
    <w:rsid w:val="00D75801"/>
    <w:rPr>
      <w:rFonts w:cs="Times New Roman"/>
      <w:i/>
      <w:iCs/>
    </w:rPr>
  </w:style>
  <w:style w:type="paragraph" w:styleId="CommentText">
    <w:name w:val="annotation text"/>
    <w:basedOn w:val="Normal"/>
    <w:link w:val="CommentTextChar"/>
    <w:uiPriority w:val="99"/>
    <w:semiHidden/>
    <w:rsid w:val="00D75801"/>
  </w:style>
  <w:style w:type="character" w:customStyle="1" w:styleId="CommentTextChar">
    <w:name w:val="Comment Text Char"/>
    <w:basedOn w:val="DefaultParagraphFont"/>
    <w:link w:val="CommentText"/>
    <w:uiPriority w:val="99"/>
    <w:rsid w:val="00D75801"/>
    <w:rPr>
      <w:rFonts w:ascii="Times New Roman" w:hAnsi="Times New Roman" w:cs="Times New Roman"/>
      <w:sz w:val="24"/>
      <w:lang w:eastAsia="fr-FR"/>
    </w:rPr>
  </w:style>
  <w:style w:type="character" w:customStyle="1" w:styleId="Marquenotebasde">
    <w:name w:val="Marque note bas de"/>
    <w:uiPriority w:val="99"/>
    <w:rsid w:val="00D75801"/>
    <w:rPr>
      <w:vertAlign w:val="superscript"/>
    </w:rPr>
  </w:style>
  <w:style w:type="paragraph" w:customStyle="1" w:styleId="Notedebasd">
    <w:name w:val="Note de bas d"/>
    <w:basedOn w:val="Normal"/>
    <w:uiPriority w:val="99"/>
    <w:rsid w:val="00655067"/>
    <w:rPr>
      <w:sz w:val="20"/>
    </w:rPr>
  </w:style>
  <w:style w:type="character" w:customStyle="1" w:styleId="FootnoteTextChar">
    <w:name w:val="Footnote Text Char"/>
    <w:basedOn w:val="DefaultParagraphFont"/>
    <w:uiPriority w:val="99"/>
    <w:rsid w:val="00655067"/>
    <w:rPr>
      <w:rFonts w:ascii="Times New Roman" w:hAnsi="Times New Roman" w:cs="Times New Roman"/>
      <w:sz w:val="24"/>
      <w:lang w:eastAsia="fr-FR"/>
    </w:rPr>
  </w:style>
  <w:style w:type="paragraph" w:customStyle="1" w:styleId="Corpsdete">
    <w:name w:val="Corps de te"/>
    <w:basedOn w:val="Normal"/>
    <w:uiPriority w:val="99"/>
    <w:rsid w:val="00D75801"/>
    <w:pPr>
      <w:jc w:val="both"/>
    </w:pPr>
  </w:style>
  <w:style w:type="character" w:customStyle="1" w:styleId="BodyText2Char">
    <w:name w:val="Body Text 2 Char"/>
    <w:basedOn w:val="DefaultParagraphFont"/>
    <w:uiPriority w:val="99"/>
    <w:rsid w:val="00D75801"/>
    <w:rPr>
      <w:rFonts w:ascii="Times New Roman" w:hAnsi="Times New Roman" w:cs="Times New Roman"/>
      <w:sz w:val="24"/>
      <w:lang w:eastAsia="fr-FR"/>
    </w:rPr>
  </w:style>
  <w:style w:type="character" w:customStyle="1" w:styleId="Lienhype">
    <w:name w:val="Lien hype"/>
    <w:uiPriority w:val="99"/>
    <w:rsid w:val="00D75801"/>
    <w:rPr>
      <w:color w:val="0000FF"/>
      <w:u w:val="single"/>
    </w:rPr>
  </w:style>
  <w:style w:type="character" w:styleId="CommentReference">
    <w:name w:val="annotation reference"/>
    <w:basedOn w:val="DefaultParagraphFont"/>
    <w:uiPriority w:val="99"/>
    <w:semiHidden/>
    <w:rsid w:val="00D75801"/>
    <w:rPr>
      <w:rFonts w:cs="Times New Roman"/>
      <w:sz w:val="16"/>
    </w:rPr>
  </w:style>
  <w:style w:type="paragraph" w:customStyle="1" w:styleId="Textedebul">
    <w:name w:val="Texte de bul"/>
    <w:basedOn w:val="Normal"/>
    <w:uiPriority w:val="99"/>
    <w:semiHidden/>
    <w:rsid w:val="00D75801"/>
    <w:rPr>
      <w:rFonts w:ascii="Tahoma" w:hAnsi="Tahoma" w:cs="Tahoma"/>
      <w:sz w:val="16"/>
      <w:szCs w:val="16"/>
    </w:rPr>
  </w:style>
  <w:style w:type="character" w:customStyle="1" w:styleId="BalloonTextChar">
    <w:name w:val="Balloon Text Char"/>
    <w:basedOn w:val="DefaultParagraphFont"/>
    <w:uiPriority w:val="99"/>
    <w:semiHidden/>
    <w:rsid w:val="00D75801"/>
    <w:rPr>
      <w:rFonts w:ascii="Tahoma" w:hAnsi="Tahoma" w:cs="Tahoma"/>
      <w:sz w:val="16"/>
      <w:lang w:eastAsia="fr-FR"/>
    </w:rPr>
  </w:style>
  <w:style w:type="paragraph" w:customStyle="1" w:styleId="Piedd">
    <w:name w:val="Pied d"/>
    <w:basedOn w:val="Normal"/>
    <w:uiPriority w:val="99"/>
    <w:rsid w:val="00D75801"/>
    <w:pPr>
      <w:tabs>
        <w:tab w:val="center" w:pos="4536"/>
        <w:tab w:val="right" w:pos="9072"/>
      </w:tabs>
    </w:pPr>
    <w:rPr>
      <w:rFonts w:ascii="Cambria" w:eastAsia="MS Mincho" w:hAnsi="Cambria"/>
    </w:rPr>
  </w:style>
  <w:style w:type="character" w:customStyle="1" w:styleId="FooterChar">
    <w:name w:val="Footer Char"/>
    <w:basedOn w:val="DefaultParagraphFont"/>
    <w:uiPriority w:val="99"/>
    <w:rsid w:val="00D75801"/>
    <w:rPr>
      <w:rFonts w:ascii="Cambria" w:eastAsia="MS Mincho" w:hAnsi="Cambria" w:cs="Times New Roman"/>
      <w:sz w:val="24"/>
      <w:lang w:eastAsia="fr-FR"/>
    </w:rPr>
  </w:style>
  <w:style w:type="character" w:customStyle="1" w:styleId="apple-converted-space">
    <w:name w:val="apple-converted-space"/>
    <w:basedOn w:val="DefaultParagraphFont"/>
    <w:uiPriority w:val="99"/>
    <w:rsid w:val="00D75801"/>
    <w:rPr>
      <w:rFonts w:cs="Times New Roman"/>
    </w:rPr>
  </w:style>
  <w:style w:type="character" w:customStyle="1" w:styleId="Accentua">
    <w:name w:val="Accentua"/>
    <w:basedOn w:val="DefaultParagraphFont"/>
    <w:uiPriority w:val="99"/>
    <w:rsid w:val="00D75801"/>
    <w:rPr>
      <w:rFonts w:cs="Times New Roman"/>
      <w:i/>
      <w:iCs/>
    </w:rPr>
  </w:style>
  <w:style w:type="character" w:customStyle="1" w:styleId="bylinepipe">
    <w:name w:val="bylinepipe"/>
    <w:basedOn w:val="DefaultParagraphFont"/>
    <w:uiPriority w:val="99"/>
    <w:rsid w:val="00D75801"/>
    <w:rPr>
      <w:rFonts w:cs="Times New Roman"/>
    </w:rPr>
  </w:style>
  <w:style w:type="paragraph" w:styleId="NormalWeb">
    <w:name w:val="Normal (Web)"/>
    <w:basedOn w:val="Normal"/>
    <w:uiPriority w:val="99"/>
    <w:rsid w:val="00D75801"/>
    <w:pPr>
      <w:spacing w:before="100" w:beforeAutospacing="1" w:after="100" w:afterAutospacing="1"/>
      <w:jc w:val="both"/>
    </w:pPr>
  </w:style>
  <w:style w:type="paragraph" w:customStyle="1" w:styleId="Objetducommentai">
    <w:name w:val="Objet du commentai"/>
    <w:basedOn w:val="CommentText"/>
    <w:next w:val="CommentText"/>
    <w:uiPriority w:val="99"/>
    <w:semiHidden/>
    <w:rsid w:val="00D75801"/>
    <w:pPr>
      <w:jc w:val="both"/>
    </w:pPr>
    <w:rPr>
      <w:b/>
      <w:bCs/>
      <w:sz w:val="20"/>
      <w:szCs w:val="20"/>
    </w:rPr>
  </w:style>
  <w:style w:type="character" w:customStyle="1" w:styleId="CommentSubjectChar">
    <w:name w:val="Comment Subject Char"/>
    <w:basedOn w:val="CommentTextChar"/>
    <w:uiPriority w:val="99"/>
    <w:semiHidden/>
    <w:rsid w:val="00D75801"/>
    <w:rPr>
      <w:rFonts w:ascii="Times New Roman" w:hAnsi="Times New Roman" w:cs="Times New Roman"/>
      <w:b/>
      <w:bCs/>
      <w:sz w:val="20"/>
      <w:lang w:eastAsia="fr-FR"/>
    </w:rPr>
  </w:style>
  <w:style w:type="paragraph" w:styleId="Quote">
    <w:name w:val="Quote"/>
    <w:basedOn w:val="Normal"/>
    <w:next w:val="Normal"/>
    <w:link w:val="QuoteChar"/>
    <w:uiPriority w:val="99"/>
    <w:rsid w:val="00D75801"/>
    <w:pPr>
      <w:spacing w:before="120" w:after="120"/>
      <w:ind w:left="1134"/>
      <w:jc w:val="both"/>
    </w:pPr>
    <w:rPr>
      <w:iCs/>
      <w:color w:val="000000"/>
      <w:szCs w:val="22"/>
    </w:rPr>
  </w:style>
  <w:style w:type="character" w:customStyle="1" w:styleId="QuoteChar">
    <w:name w:val="Quote Char"/>
    <w:basedOn w:val="DefaultParagraphFont"/>
    <w:link w:val="Quote"/>
    <w:uiPriority w:val="99"/>
    <w:rsid w:val="00D75801"/>
    <w:rPr>
      <w:rFonts w:ascii="Times New Roman" w:hAnsi="Times New Roman" w:cs="Times New Roman"/>
      <w:iCs/>
      <w:color w:val="000000"/>
      <w:sz w:val="24"/>
      <w:lang w:eastAsia="fr-FR"/>
    </w:rPr>
  </w:style>
  <w:style w:type="paragraph" w:customStyle="1" w:styleId="Corpsde">
    <w:name w:val="Corps de"/>
    <w:basedOn w:val="Normal"/>
    <w:uiPriority w:val="99"/>
    <w:rsid w:val="00D75801"/>
    <w:pPr>
      <w:spacing w:after="120"/>
    </w:pPr>
  </w:style>
  <w:style w:type="character" w:customStyle="1" w:styleId="BodyTextChar">
    <w:name w:val="Body Text Char"/>
    <w:basedOn w:val="DefaultParagraphFont"/>
    <w:uiPriority w:val="99"/>
    <w:rsid w:val="00D75801"/>
    <w:rPr>
      <w:rFonts w:ascii="Times New Roman" w:hAnsi="Times New Roman" w:cs="Times New Roman"/>
      <w:sz w:val="24"/>
      <w:lang w:eastAsia="fr-FR"/>
    </w:rPr>
  </w:style>
  <w:style w:type="paragraph" w:customStyle="1" w:styleId="berschrift">
    <w:name w:val="Überschrift"/>
    <w:basedOn w:val="Normal"/>
    <w:next w:val="Corpsde"/>
    <w:uiPriority w:val="99"/>
    <w:rsid w:val="00D75801"/>
    <w:pPr>
      <w:keepNext/>
      <w:suppressAutoHyphens/>
      <w:spacing w:before="240" w:after="120"/>
    </w:pPr>
    <w:rPr>
      <w:rFonts w:eastAsia="Calibri" w:cs="Tahoma"/>
      <w:sz w:val="28"/>
      <w:szCs w:val="28"/>
      <w:lang w:val="en-US" w:eastAsia="ar-SA"/>
    </w:rPr>
  </w:style>
  <w:style w:type="paragraph" w:customStyle="1" w:styleId="EndNoteBibliography">
    <w:name w:val="EndNote Bibliography"/>
    <w:basedOn w:val="Normal"/>
    <w:uiPriority w:val="99"/>
    <w:rsid w:val="00D75801"/>
    <w:pPr>
      <w:spacing w:after="200"/>
      <w:jc w:val="both"/>
    </w:pPr>
    <w:rPr>
      <w:rFonts w:eastAsia="Calibri"/>
      <w:szCs w:val="22"/>
      <w:lang w:val="en-US" w:eastAsia="en-US"/>
    </w:rPr>
  </w:style>
  <w:style w:type="character" w:customStyle="1" w:styleId="style1">
    <w:name w:val="style1"/>
    <w:basedOn w:val="DefaultParagraphFont"/>
    <w:uiPriority w:val="99"/>
    <w:rsid w:val="00D75801"/>
    <w:rPr>
      <w:rFonts w:cs="Times New Roman"/>
    </w:rPr>
  </w:style>
  <w:style w:type="paragraph" w:customStyle="1" w:styleId="En-tt">
    <w:name w:val="En-têt"/>
    <w:basedOn w:val="Normal"/>
    <w:uiPriority w:val="99"/>
    <w:rsid w:val="00D75801"/>
    <w:pPr>
      <w:tabs>
        <w:tab w:val="center" w:pos="4536"/>
        <w:tab w:val="right" w:pos="9072"/>
      </w:tabs>
      <w:suppressAutoHyphens/>
      <w:jc w:val="both"/>
    </w:pPr>
    <w:rPr>
      <w:lang w:val="en-GB" w:eastAsia="ar-SA"/>
    </w:rPr>
  </w:style>
  <w:style w:type="character" w:customStyle="1" w:styleId="HeaderChar">
    <w:name w:val="Header Char"/>
    <w:basedOn w:val="DefaultParagraphFont"/>
    <w:uiPriority w:val="99"/>
    <w:rsid w:val="00D75801"/>
    <w:rPr>
      <w:rFonts w:ascii="Times New Roman" w:hAnsi="Times New Roman" w:cs="Times New Roman"/>
      <w:sz w:val="24"/>
      <w:lang w:val="en-GB" w:eastAsia="ar-SA" w:bidi="ar-SA"/>
    </w:rPr>
  </w:style>
  <w:style w:type="paragraph" w:styleId="EndnoteText">
    <w:name w:val="endnote text"/>
    <w:basedOn w:val="Normal"/>
    <w:link w:val="EndnoteTextChar"/>
    <w:uiPriority w:val="99"/>
    <w:semiHidden/>
    <w:rsid w:val="00D75801"/>
    <w:pPr>
      <w:suppressAutoHyphens/>
      <w:jc w:val="both"/>
    </w:pPr>
    <w:rPr>
      <w:sz w:val="20"/>
      <w:szCs w:val="20"/>
      <w:lang w:eastAsia="ar-SA"/>
    </w:rPr>
  </w:style>
  <w:style w:type="character" w:customStyle="1" w:styleId="EndnoteTextChar">
    <w:name w:val="Endnote Text Char"/>
    <w:basedOn w:val="DefaultParagraphFont"/>
    <w:link w:val="EndnoteText"/>
    <w:uiPriority w:val="99"/>
    <w:rsid w:val="00D75801"/>
    <w:rPr>
      <w:rFonts w:ascii="Times New Roman" w:hAnsi="Times New Roman" w:cs="Times New Roman"/>
      <w:sz w:val="20"/>
      <w:lang w:eastAsia="ar-SA" w:bidi="ar-SA"/>
    </w:rPr>
  </w:style>
  <w:style w:type="paragraph" w:styleId="BalloonText">
    <w:name w:val="Balloon Text"/>
    <w:basedOn w:val="Normal"/>
    <w:link w:val="BalloonTextChar1"/>
    <w:uiPriority w:val="99"/>
    <w:semiHidden/>
    <w:rsid w:val="00AB571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967FE"/>
    <w:rPr>
      <w:rFonts w:ascii="Lucida Grande" w:eastAsia="Times New Roman"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01"/>
    <w:rPr>
      <w:rFonts w:ascii="Times New Roman" w:eastAsia="Times New Roman" w:hAnsi="Times New Roman"/>
      <w:sz w:val="24"/>
      <w:szCs w:val="24"/>
      <w:lang w:eastAsia="fr-FR"/>
    </w:rPr>
  </w:style>
  <w:style w:type="paragraph" w:styleId="Heading1">
    <w:name w:val="heading 1"/>
    <w:basedOn w:val="Normal"/>
    <w:next w:val="Normal"/>
    <w:link w:val="Heading1Char"/>
    <w:uiPriority w:val="99"/>
    <w:qFormat/>
    <w:rsid w:val="00D75801"/>
    <w:pPr>
      <w:keepNext/>
      <w:spacing w:line="360" w:lineRule="auto"/>
      <w:jc w:val="both"/>
      <w:outlineLvl w:val="0"/>
    </w:pPr>
    <w:rPr>
      <w:b/>
      <w:bCs/>
      <w:color w:val="00000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5801"/>
    <w:rPr>
      <w:rFonts w:ascii="Times New Roman" w:hAnsi="Times New Roman" w:cs="Times New Roman"/>
      <w:b/>
      <w:bCs/>
      <w:color w:val="000000"/>
      <w:sz w:val="16"/>
      <w:lang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character" w:styleId="Strong">
    <w:name w:val="Strong"/>
    <w:basedOn w:val="DefaultParagraphFont"/>
    <w:uiPriority w:val="99"/>
    <w:qFormat/>
    <w:rsid w:val="00D75801"/>
    <w:rPr>
      <w:rFonts w:cs="Times New Roman"/>
      <w:b/>
      <w:bCs/>
    </w:rPr>
  </w:style>
  <w:style w:type="paragraph" w:styleId="ListParagraph">
    <w:name w:val="List Paragraph"/>
    <w:basedOn w:val="Normal"/>
    <w:uiPriority w:val="99"/>
    <w:qFormat/>
    <w:rsid w:val="00D75801"/>
    <w:pPr>
      <w:ind w:left="720"/>
      <w:contextualSpacing/>
    </w:pPr>
  </w:style>
  <w:style w:type="character" w:styleId="HTMLCite">
    <w:name w:val="HTML Cite"/>
    <w:basedOn w:val="DefaultParagraphFont"/>
    <w:uiPriority w:val="99"/>
    <w:rsid w:val="00D75801"/>
    <w:rPr>
      <w:rFonts w:cs="Times New Roman"/>
      <w:i/>
      <w:iCs/>
    </w:rPr>
  </w:style>
  <w:style w:type="paragraph" w:styleId="CommentText">
    <w:name w:val="annotation text"/>
    <w:basedOn w:val="Normal"/>
    <w:link w:val="CommentTextChar"/>
    <w:uiPriority w:val="99"/>
    <w:semiHidden/>
    <w:rsid w:val="00D75801"/>
  </w:style>
  <w:style w:type="character" w:customStyle="1" w:styleId="CommentTextChar">
    <w:name w:val="Comment Text Char"/>
    <w:basedOn w:val="DefaultParagraphFont"/>
    <w:link w:val="CommentText"/>
    <w:uiPriority w:val="99"/>
    <w:rsid w:val="00D75801"/>
    <w:rPr>
      <w:rFonts w:ascii="Times New Roman" w:hAnsi="Times New Roman" w:cs="Times New Roman"/>
      <w:sz w:val="24"/>
      <w:lang w:eastAsia="fr-FR"/>
    </w:rPr>
  </w:style>
  <w:style w:type="character" w:customStyle="1" w:styleId="Marquenotebasde">
    <w:name w:val="Marque note bas de"/>
    <w:uiPriority w:val="99"/>
    <w:rsid w:val="00D75801"/>
    <w:rPr>
      <w:vertAlign w:val="superscript"/>
    </w:rPr>
  </w:style>
  <w:style w:type="paragraph" w:customStyle="1" w:styleId="Notedebasd">
    <w:name w:val="Note de bas d"/>
    <w:basedOn w:val="Normal"/>
    <w:uiPriority w:val="99"/>
    <w:rsid w:val="00655067"/>
    <w:rPr>
      <w:sz w:val="20"/>
    </w:rPr>
  </w:style>
  <w:style w:type="character" w:customStyle="1" w:styleId="FootnoteTextChar">
    <w:name w:val="Footnote Text Char"/>
    <w:basedOn w:val="DefaultParagraphFont"/>
    <w:uiPriority w:val="99"/>
    <w:rsid w:val="00655067"/>
    <w:rPr>
      <w:rFonts w:ascii="Times New Roman" w:hAnsi="Times New Roman" w:cs="Times New Roman"/>
      <w:sz w:val="24"/>
      <w:lang w:eastAsia="fr-FR"/>
    </w:rPr>
  </w:style>
  <w:style w:type="paragraph" w:customStyle="1" w:styleId="Corpsdete">
    <w:name w:val="Corps de te"/>
    <w:basedOn w:val="Normal"/>
    <w:uiPriority w:val="99"/>
    <w:rsid w:val="00D75801"/>
    <w:pPr>
      <w:jc w:val="both"/>
    </w:pPr>
  </w:style>
  <w:style w:type="character" w:customStyle="1" w:styleId="BodyText2Char">
    <w:name w:val="Body Text 2 Char"/>
    <w:basedOn w:val="DefaultParagraphFont"/>
    <w:uiPriority w:val="99"/>
    <w:rsid w:val="00D75801"/>
    <w:rPr>
      <w:rFonts w:ascii="Times New Roman" w:hAnsi="Times New Roman" w:cs="Times New Roman"/>
      <w:sz w:val="24"/>
      <w:lang w:eastAsia="fr-FR"/>
    </w:rPr>
  </w:style>
  <w:style w:type="character" w:customStyle="1" w:styleId="Lienhype">
    <w:name w:val="Lien hype"/>
    <w:uiPriority w:val="99"/>
    <w:rsid w:val="00D75801"/>
    <w:rPr>
      <w:color w:val="0000FF"/>
      <w:u w:val="single"/>
    </w:rPr>
  </w:style>
  <w:style w:type="character" w:styleId="CommentReference">
    <w:name w:val="annotation reference"/>
    <w:basedOn w:val="DefaultParagraphFont"/>
    <w:uiPriority w:val="99"/>
    <w:semiHidden/>
    <w:rsid w:val="00D75801"/>
    <w:rPr>
      <w:rFonts w:cs="Times New Roman"/>
      <w:sz w:val="16"/>
    </w:rPr>
  </w:style>
  <w:style w:type="paragraph" w:customStyle="1" w:styleId="Textedebul">
    <w:name w:val="Texte de bul"/>
    <w:basedOn w:val="Normal"/>
    <w:uiPriority w:val="99"/>
    <w:semiHidden/>
    <w:rsid w:val="00D75801"/>
    <w:rPr>
      <w:rFonts w:ascii="Tahoma" w:hAnsi="Tahoma" w:cs="Tahoma"/>
      <w:sz w:val="16"/>
      <w:szCs w:val="16"/>
    </w:rPr>
  </w:style>
  <w:style w:type="character" w:customStyle="1" w:styleId="BalloonTextChar">
    <w:name w:val="Balloon Text Char"/>
    <w:basedOn w:val="DefaultParagraphFont"/>
    <w:uiPriority w:val="99"/>
    <w:semiHidden/>
    <w:rsid w:val="00D75801"/>
    <w:rPr>
      <w:rFonts w:ascii="Tahoma" w:hAnsi="Tahoma" w:cs="Tahoma"/>
      <w:sz w:val="16"/>
      <w:lang w:eastAsia="fr-FR"/>
    </w:rPr>
  </w:style>
  <w:style w:type="paragraph" w:customStyle="1" w:styleId="Piedd">
    <w:name w:val="Pied d"/>
    <w:basedOn w:val="Normal"/>
    <w:uiPriority w:val="99"/>
    <w:rsid w:val="00D75801"/>
    <w:pPr>
      <w:tabs>
        <w:tab w:val="center" w:pos="4536"/>
        <w:tab w:val="right" w:pos="9072"/>
      </w:tabs>
    </w:pPr>
    <w:rPr>
      <w:rFonts w:ascii="Cambria" w:eastAsia="MS Mincho" w:hAnsi="Cambria"/>
    </w:rPr>
  </w:style>
  <w:style w:type="character" w:customStyle="1" w:styleId="FooterChar">
    <w:name w:val="Footer Char"/>
    <w:basedOn w:val="DefaultParagraphFont"/>
    <w:uiPriority w:val="99"/>
    <w:rsid w:val="00D75801"/>
    <w:rPr>
      <w:rFonts w:ascii="Cambria" w:eastAsia="MS Mincho" w:hAnsi="Cambria" w:cs="Times New Roman"/>
      <w:sz w:val="24"/>
      <w:lang w:eastAsia="fr-FR"/>
    </w:rPr>
  </w:style>
  <w:style w:type="character" w:customStyle="1" w:styleId="apple-converted-space">
    <w:name w:val="apple-converted-space"/>
    <w:basedOn w:val="DefaultParagraphFont"/>
    <w:uiPriority w:val="99"/>
    <w:rsid w:val="00D75801"/>
    <w:rPr>
      <w:rFonts w:cs="Times New Roman"/>
    </w:rPr>
  </w:style>
  <w:style w:type="character" w:customStyle="1" w:styleId="Accentua">
    <w:name w:val="Accentua"/>
    <w:basedOn w:val="DefaultParagraphFont"/>
    <w:uiPriority w:val="99"/>
    <w:rsid w:val="00D75801"/>
    <w:rPr>
      <w:rFonts w:cs="Times New Roman"/>
      <w:i/>
      <w:iCs/>
    </w:rPr>
  </w:style>
  <w:style w:type="character" w:customStyle="1" w:styleId="bylinepipe">
    <w:name w:val="bylinepipe"/>
    <w:basedOn w:val="DefaultParagraphFont"/>
    <w:uiPriority w:val="99"/>
    <w:rsid w:val="00D75801"/>
    <w:rPr>
      <w:rFonts w:cs="Times New Roman"/>
    </w:rPr>
  </w:style>
  <w:style w:type="paragraph" w:styleId="NormalWeb">
    <w:name w:val="Normal (Web)"/>
    <w:basedOn w:val="Normal"/>
    <w:uiPriority w:val="99"/>
    <w:rsid w:val="00D75801"/>
    <w:pPr>
      <w:spacing w:before="100" w:beforeAutospacing="1" w:after="100" w:afterAutospacing="1"/>
      <w:jc w:val="both"/>
    </w:pPr>
  </w:style>
  <w:style w:type="paragraph" w:customStyle="1" w:styleId="Objetducommentai">
    <w:name w:val="Objet du commentai"/>
    <w:basedOn w:val="CommentText"/>
    <w:next w:val="CommentText"/>
    <w:uiPriority w:val="99"/>
    <w:semiHidden/>
    <w:rsid w:val="00D75801"/>
    <w:pPr>
      <w:jc w:val="both"/>
    </w:pPr>
    <w:rPr>
      <w:b/>
      <w:bCs/>
      <w:sz w:val="20"/>
      <w:szCs w:val="20"/>
    </w:rPr>
  </w:style>
  <w:style w:type="character" w:customStyle="1" w:styleId="CommentSubjectChar">
    <w:name w:val="Comment Subject Char"/>
    <w:basedOn w:val="CommentTextChar"/>
    <w:uiPriority w:val="99"/>
    <w:semiHidden/>
    <w:rsid w:val="00D75801"/>
    <w:rPr>
      <w:rFonts w:ascii="Times New Roman" w:hAnsi="Times New Roman" w:cs="Times New Roman"/>
      <w:b/>
      <w:bCs/>
      <w:sz w:val="20"/>
      <w:lang w:eastAsia="fr-FR"/>
    </w:rPr>
  </w:style>
  <w:style w:type="paragraph" w:styleId="Quote">
    <w:name w:val="Quote"/>
    <w:basedOn w:val="Normal"/>
    <w:next w:val="Normal"/>
    <w:link w:val="QuoteChar"/>
    <w:uiPriority w:val="99"/>
    <w:rsid w:val="00D75801"/>
    <w:pPr>
      <w:spacing w:before="120" w:after="120"/>
      <w:ind w:left="1134"/>
      <w:jc w:val="both"/>
    </w:pPr>
    <w:rPr>
      <w:iCs/>
      <w:color w:val="000000"/>
      <w:szCs w:val="22"/>
    </w:rPr>
  </w:style>
  <w:style w:type="character" w:customStyle="1" w:styleId="QuoteChar">
    <w:name w:val="Quote Char"/>
    <w:basedOn w:val="DefaultParagraphFont"/>
    <w:link w:val="Quote"/>
    <w:uiPriority w:val="99"/>
    <w:rsid w:val="00D75801"/>
    <w:rPr>
      <w:rFonts w:ascii="Times New Roman" w:hAnsi="Times New Roman" w:cs="Times New Roman"/>
      <w:iCs/>
      <w:color w:val="000000"/>
      <w:sz w:val="24"/>
      <w:lang w:eastAsia="fr-FR"/>
    </w:rPr>
  </w:style>
  <w:style w:type="paragraph" w:customStyle="1" w:styleId="Corpsde">
    <w:name w:val="Corps de"/>
    <w:basedOn w:val="Normal"/>
    <w:uiPriority w:val="99"/>
    <w:rsid w:val="00D75801"/>
    <w:pPr>
      <w:spacing w:after="120"/>
    </w:pPr>
  </w:style>
  <w:style w:type="character" w:customStyle="1" w:styleId="BodyTextChar">
    <w:name w:val="Body Text Char"/>
    <w:basedOn w:val="DefaultParagraphFont"/>
    <w:uiPriority w:val="99"/>
    <w:rsid w:val="00D75801"/>
    <w:rPr>
      <w:rFonts w:ascii="Times New Roman" w:hAnsi="Times New Roman" w:cs="Times New Roman"/>
      <w:sz w:val="24"/>
      <w:lang w:eastAsia="fr-FR"/>
    </w:rPr>
  </w:style>
  <w:style w:type="paragraph" w:customStyle="1" w:styleId="berschrift">
    <w:name w:val="Überschrift"/>
    <w:basedOn w:val="Normal"/>
    <w:next w:val="Corpsde"/>
    <w:uiPriority w:val="99"/>
    <w:rsid w:val="00D75801"/>
    <w:pPr>
      <w:keepNext/>
      <w:suppressAutoHyphens/>
      <w:spacing w:before="240" w:after="120"/>
    </w:pPr>
    <w:rPr>
      <w:rFonts w:eastAsia="Calibri" w:cs="Tahoma"/>
      <w:sz w:val="28"/>
      <w:szCs w:val="28"/>
      <w:lang w:val="en-US" w:eastAsia="ar-SA"/>
    </w:rPr>
  </w:style>
  <w:style w:type="paragraph" w:customStyle="1" w:styleId="EndNoteBibliography">
    <w:name w:val="EndNote Bibliography"/>
    <w:basedOn w:val="Normal"/>
    <w:uiPriority w:val="99"/>
    <w:rsid w:val="00D75801"/>
    <w:pPr>
      <w:spacing w:after="200"/>
      <w:jc w:val="both"/>
    </w:pPr>
    <w:rPr>
      <w:rFonts w:eastAsia="Calibri"/>
      <w:szCs w:val="22"/>
      <w:lang w:val="en-US" w:eastAsia="en-US"/>
    </w:rPr>
  </w:style>
  <w:style w:type="character" w:customStyle="1" w:styleId="style1">
    <w:name w:val="style1"/>
    <w:basedOn w:val="DefaultParagraphFont"/>
    <w:uiPriority w:val="99"/>
    <w:rsid w:val="00D75801"/>
    <w:rPr>
      <w:rFonts w:cs="Times New Roman"/>
    </w:rPr>
  </w:style>
  <w:style w:type="paragraph" w:customStyle="1" w:styleId="En-tt">
    <w:name w:val="En-têt"/>
    <w:basedOn w:val="Normal"/>
    <w:uiPriority w:val="99"/>
    <w:rsid w:val="00D75801"/>
    <w:pPr>
      <w:tabs>
        <w:tab w:val="center" w:pos="4536"/>
        <w:tab w:val="right" w:pos="9072"/>
      </w:tabs>
      <w:suppressAutoHyphens/>
      <w:jc w:val="both"/>
    </w:pPr>
    <w:rPr>
      <w:lang w:val="en-GB" w:eastAsia="ar-SA"/>
    </w:rPr>
  </w:style>
  <w:style w:type="character" w:customStyle="1" w:styleId="HeaderChar">
    <w:name w:val="Header Char"/>
    <w:basedOn w:val="DefaultParagraphFont"/>
    <w:uiPriority w:val="99"/>
    <w:rsid w:val="00D75801"/>
    <w:rPr>
      <w:rFonts w:ascii="Times New Roman" w:hAnsi="Times New Roman" w:cs="Times New Roman"/>
      <w:sz w:val="24"/>
      <w:lang w:val="en-GB" w:eastAsia="ar-SA" w:bidi="ar-SA"/>
    </w:rPr>
  </w:style>
  <w:style w:type="paragraph" w:styleId="EndnoteText">
    <w:name w:val="endnote text"/>
    <w:basedOn w:val="Normal"/>
    <w:link w:val="EndnoteTextChar"/>
    <w:uiPriority w:val="99"/>
    <w:semiHidden/>
    <w:rsid w:val="00D75801"/>
    <w:pPr>
      <w:suppressAutoHyphens/>
      <w:jc w:val="both"/>
    </w:pPr>
    <w:rPr>
      <w:sz w:val="20"/>
      <w:szCs w:val="20"/>
      <w:lang w:eastAsia="ar-SA"/>
    </w:rPr>
  </w:style>
  <w:style w:type="character" w:customStyle="1" w:styleId="EndnoteTextChar">
    <w:name w:val="Endnote Text Char"/>
    <w:basedOn w:val="DefaultParagraphFont"/>
    <w:link w:val="EndnoteText"/>
    <w:uiPriority w:val="99"/>
    <w:rsid w:val="00D75801"/>
    <w:rPr>
      <w:rFonts w:ascii="Times New Roman" w:hAnsi="Times New Roman" w:cs="Times New Roman"/>
      <w:sz w:val="20"/>
      <w:lang w:eastAsia="ar-SA" w:bidi="ar-SA"/>
    </w:rPr>
  </w:style>
  <w:style w:type="paragraph" w:styleId="BalloonText">
    <w:name w:val="Balloon Text"/>
    <w:basedOn w:val="Normal"/>
    <w:link w:val="BalloonTextChar1"/>
    <w:uiPriority w:val="99"/>
    <w:semiHidden/>
    <w:rsid w:val="00AB571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967FE"/>
    <w:rPr>
      <w:rFonts w:ascii="Lucida Grande" w:eastAsia="Times New Roman"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6235</Words>
  <Characters>35542</Characters>
  <Application>Microsoft Macintosh Word</Application>
  <DocSecurity>0</DocSecurity>
  <Lines>296</Lines>
  <Paragraphs>83</Paragraphs>
  <ScaleCrop>false</ScaleCrop>
  <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Lire Derrida </dc:title>
  <dc:subject/>
  <dc:creator>user</dc:creator>
  <cp:keywords/>
  <cp:lastModifiedBy>Johannes Angermuller</cp:lastModifiedBy>
  <cp:revision>3</cp:revision>
  <dcterms:created xsi:type="dcterms:W3CDTF">2015-06-08T09:33:00Z</dcterms:created>
  <dcterms:modified xsi:type="dcterms:W3CDTF">2015-06-08T09:33:00Z</dcterms:modified>
</cp:coreProperties>
</file>